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SECURITIES AND EXCHANGE COMMISSION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>Washington, D.C. 20549</w:t>
      </w:r>
    </w:p>
    <w:p>
      <w:pPr>
        <w:pStyle w:val="TextBody"/>
        <w:bidi w:val="0"/>
        <w:spacing w:lineRule="atLeast" w:line="32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—–—–—–—–—</w:t>
      </w:r>
    </w:p>
    <w:p>
      <w:pPr>
        <w:pStyle w:val="TextBody"/>
        <w:bidi w:val="0"/>
        <w:spacing w:lineRule="atLeast" w:line="4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SCHEDULE 14A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 xml:space="preserve">Proxy Statement Pursuant to Section 14(a) of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>the Securities Exchange Act of 1934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>(Amendment No. 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Filed by the Registrant </w:t>
      </w:r>
      <w:r>
        <w:rPr>
          <w:caps w:val="false"/>
          <w:smallCaps w:val="false"/>
        </w:rPr>
        <w:t>☒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Filed by a Party other than the Registrant </w:t>
      </w:r>
      <w:r>
        <w:rPr>
          <w:caps w:val="false"/>
          <w:smallCaps w:val="false"/>
        </w:rPr>
        <w:t>☐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Preliminary 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☒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Definitive 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Definitive Additional Materials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Soliciting Material Pursuant to Rule 14a-12</w:t>
      </w:r>
    </w:p>
    <w:p>
      <w:pPr>
        <w:pStyle w:val="TextBody"/>
        <w:bidi w:val="0"/>
        <w:spacing w:lineRule="atLeast" w:line="4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Gemini Space Station,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Payment of filing fee (Check all applicable boxes):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☒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No fee required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Fee paid previously with preliminary materials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Fee computed on table in exhibit required by Item 25(b) per Exchange Act Rules 14a-6(i)(4) and 0-11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248025" cy="6667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i-1"/>
      <w:bookmarkEnd w:id="0"/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Gemini Space Station, Inc.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600 Third Avenue, 2</w:t>
      </w:r>
      <w:r>
        <w:rPr>
          <w:rFonts w:ascii="Times New Roman;serif" w:hAnsi="Times New Roman;serif"/>
          <w:b/>
          <w:i w:val="false"/>
          <w:caps w:val="false"/>
          <w:smallCaps w:val="false"/>
          <w:sz w:val="13"/>
        </w:rPr>
        <w:t>nd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Floor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New York, New York 10016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April 30,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Dear Stockholder: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You are cordially invited to attend Gemini Space Station Inc.’s 2026 Annual Meeting of Stockholders on Monday, June 15, 2026,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12:00 p.m., Eastern Time. The 2026 Annual Meeting of Stockholders will be held in a virtual format online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www.virtualshareholdermeeting.com/GEMI2026.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matters to be acted on at the 2026 Annual Meeting of Stockholders are described in the enclosed notice and proxy statement.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Your vote is important to us. Even if you plan on attending the 2026 Annual Meeting of Stockholders, we encourage you to vote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your shares in advance to ensure that your vote will be represented at the meeting. To vote in advance of the meeting, you may vote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online, as instructed in the attached proxy statement, or by completing, signing and returning the proxy card that is provided. You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revoke your proxy at any time before your shares are voted at the 2026 Annual Meeting of Stockholders. See the attached proxy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 for more detailed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We look forward to receiving your proxy and we appreciate your support.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Onward,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/s/ Tyler Winklevoss   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Tyler Winklevoss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Co-Founder, Chief Executive Officer and Director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248025" cy="6667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i-2"/>
      <w:bookmarkEnd w:id="1"/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Gemini Space Station, Inc.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600 Third Avenue, 2</w:t>
      </w:r>
      <w:r>
        <w:rPr>
          <w:rFonts w:ascii="Times New Roman;serif" w:hAnsi="Times New Roman;serif"/>
          <w:b/>
          <w:i w:val="false"/>
          <w:caps w:val="false"/>
          <w:smallCaps w:val="false"/>
          <w:sz w:val="13"/>
        </w:rPr>
        <w:t>nd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Floor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New York, New York 10016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—–—–—–—–—–—–—–—–—–—–—–—–—–—–—–—–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NOTICE OF ANNUAL MEETING OF STOCKHOLDERS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TO BE HELD ON MONDAY, JUNE 15, 2026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—–—–—–—–—–—–—–—–—–—–—–—–—–—–—–—–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You are cordially invited to attend the Annual Meeting of Stockholders (the “Annual Meeting”) of Gemini Space Station, Inc. (the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Company”) to be held on Monday, June 15, 2026, at 12:00 p.m. Eastern Time, online at https://www.virtualshareholdermeeting.com/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GEMI2026.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At the Annual Meeting, stockholders will be invited to consider and vote upon the following matters: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1.Election of six directors to serve for a one-year term of office expiring at the 2027 annual meeting of stockholders;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2.Ratification of the appointment of Deloitte &amp; Touche LLP as our independent registered public accounting firm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fiscal year ending December 31, 2026; and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3.Any other matter that properly comes before the Annual Meeting or any postponement or adjournment thereof.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foregoing items of business are more fully described in the proxy statement accompanying this Notice of Annual Meeting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Stockholders.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of directors has fixed the close of business on April 20, 2026, as the record date for the determination of stockholders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entitled to notice of, and to vote at, the Annual Meeting and any postponement or adjournment thereof. Your vote is very important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Company and all proxies are being solicited by the Board. So, whether or not you plan on attending the Annual Meeting,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encourage you to submit your proxy as soon as possible (i) by accessing https://www.proxyvote.com or (ii) by signing, dating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returning a proxy card or instruction form provided to you. By submitting your proxy promptly, you will save the Company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 of further proxy solicitation. Please note that all votes cast online must be cast prior to 11:59 p.m., Eastern Time, on June 14,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2026.</w:t>
      </w:r>
    </w:p>
    <w:tbl>
      <w:tblPr>
        <w:tblW w:w="41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41"/>
      </w:tblGrid>
      <w:tr>
        <w:trPr/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 Order of the Board of Directors,</w:t>
            </w:r>
          </w:p>
        </w:tc>
      </w:tr>
      <w:tr>
        <w:trPr/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/s/ Kate Freedman</w:t>
            </w:r>
          </w:p>
        </w:tc>
      </w:tr>
      <w:tr>
        <w:trPr/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Kate Freedman</w:t>
            </w:r>
          </w:p>
        </w:tc>
      </w:tr>
      <w:tr>
        <w:trPr/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Corporate Secretary and Interim General Counsel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April 30,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New York, New York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TABLE OF CONTENTS</w:t>
      </w:r>
    </w:p>
    <w:tbl>
      <w:tblPr>
        <w:tblW w:w="87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21"/>
        <w:gridCol w:w="571"/>
      </w:tblGrid>
      <w:tr>
        <w:trPr/>
        <w:tc>
          <w:tcPr>
            <w:tcW w:w="8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Page</w:t>
            </w:r>
          </w:p>
        </w:tc>
      </w:tr>
      <w:tr>
        <w:trPr/>
        <w:tc>
          <w:tcPr>
            <w:tcW w:w="8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INFORMATION ABOUT THE ANNUAL MEETING AND PROXY MATERIALS</w:t>
              </w:r>
            </w:hyperlink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</w:t>
              </w:r>
            </w:hyperlink>
          </w:p>
        </w:tc>
      </w:tr>
      <w:tr>
        <w:trPr/>
        <w:tc>
          <w:tcPr>
            <w:tcW w:w="82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7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PROPOSAL 1 – ELECTION OF DIRECTORS</w:t>
              </w:r>
            </w:hyperlink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7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</w:t>
              </w:r>
            </w:hyperlink>
          </w:p>
        </w:tc>
      </w:tr>
      <w:tr>
        <w:trPr/>
        <w:tc>
          <w:tcPr>
            <w:tcW w:w="8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7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BOARD OF DIRECTORS AND CORPORATE GOVERNANCE</w:t>
              </w:r>
            </w:hyperlink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7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8</w:t>
              </w:r>
            </w:hyperlink>
          </w:p>
        </w:tc>
      </w:tr>
      <w:tr>
        <w:trPr/>
        <w:tc>
          <w:tcPr>
            <w:tcW w:w="82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1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DIRECTOR COMPENSATION</w:t>
              </w:r>
            </w:hyperlink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1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</w:t>
              </w:r>
            </w:hyperlink>
          </w:p>
        </w:tc>
      </w:tr>
      <w:tr>
        <w:trPr/>
        <w:tc>
          <w:tcPr>
            <w:tcW w:w="8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FF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FF"/>
                <w:sz w:val="20"/>
                <w:u w:val="single"/>
              </w:rPr>
              <w:t>PROPOSAL 2 – RATIFICATION OF INDEPENDENT REGISTERED PUBLIC ACCOUNTING FIRM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2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14</w:t>
              </w:r>
            </w:hyperlink>
          </w:p>
        </w:tc>
      </w:tr>
      <w:tr>
        <w:trPr/>
        <w:tc>
          <w:tcPr>
            <w:tcW w:w="82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3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AUDIT AND RISK COMMITTEE REPORT</w:t>
              </w:r>
            </w:hyperlink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3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16</w:t>
              </w:r>
            </w:hyperlink>
          </w:p>
        </w:tc>
      </w:tr>
      <w:tr>
        <w:trPr/>
        <w:tc>
          <w:tcPr>
            <w:tcW w:w="8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3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PRINCIPAL STOCKHOLDERS</w:t>
              </w:r>
            </w:hyperlink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3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17</w:t>
              </w:r>
            </w:hyperlink>
          </w:p>
        </w:tc>
      </w:tr>
      <w:tr>
        <w:trPr/>
        <w:tc>
          <w:tcPr>
            <w:tcW w:w="82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4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INFORMATION ABOUT OUR EXECUTIVE OFFICERS</w:t>
              </w:r>
            </w:hyperlink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4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19</w:t>
              </w:r>
            </w:hyperlink>
          </w:p>
        </w:tc>
      </w:tr>
      <w:tr>
        <w:trPr/>
        <w:tc>
          <w:tcPr>
            <w:tcW w:w="8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4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EXECUTIVE COMPENSATION</w:t>
              </w:r>
            </w:hyperlink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14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20</w:t>
              </w:r>
            </w:hyperlink>
          </w:p>
        </w:tc>
      </w:tr>
      <w:tr>
        <w:trPr/>
        <w:tc>
          <w:tcPr>
            <w:tcW w:w="82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20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CERTAIN RELATIONSHIPS AND RELATED PERSON TRANSACTIONS</w:t>
              </w:r>
            </w:hyperlink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20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29</w:t>
              </w:r>
            </w:hyperlink>
          </w:p>
        </w:tc>
      </w:tr>
      <w:tr>
        <w:trPr/>
        <w:tc>
          <w:tcPr>
            <w:tcW w:w="8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23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HOUSEHOLDING</w:t>
              </w:r>
            </w:hyperlink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23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31</w:t>
              </w:r>
            </w:hyperlink>
          </w:p>
        </w:tc>
      </w:tr>
      <w:tr>
        <w:trPr/>
        <w:tc>
          <w:tcPr>
            <w:tcW w:w="82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23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STOCKHOLDER PROPOSALS FOR 2027 ANNUAL MEETING</w:t>
              </w:r>
            </w:hyperlink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23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31</w:t>
              </w:r>
            </w:hyperlink>
          </w:p>
        </w:tc>
      </w:tr>
      <w:tr>
        <w:trPr/>
        <w:tc>
          <w:tcPr>
            <w:tcW w:w="8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24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OTHER MATTERS</w:t>
              </w:r>
            </w:hyperlink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bf2bbaa5db9a4cd88fae9b264febab24_24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31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248025" cy="66675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i-3"/>
      <w:bookmarkEnd w:id="2"/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Gemini Space Station, Inc.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600 Third Avenue, 2</w:t>
      </w:r>
      <w:r>
        <w:rPr>
          <w:rFonts w:ascii="Times New Roman;serif" w:hAnsi="Times New Roman;serif"/>
          <w:b/>
          <w:i w:val="false"/>
          <w:caps w:val="false"/>
          <w:smallCaps w:val="false"/>
          <w:sz w:val="13"/>
        </w:rPr>
        <w:t>nd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Floor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New York, New York 10016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—–—–—–—–—–—–—–—–—–—–—–—–—–—–—–—–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—–—–—–—–—–—–—–—–—–—–—–—–—–—–—–—–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INFORMATION ABOUT THE ANNUAL MEETING AND PROXY MATERIALS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Internet Availability of Proxy Materials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are furnishing our proxy materials to stockholders of Gemini Space Station, Inc. (“Gemini” or the “Company”) in connection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the solicitation of proxies for use at the 2026 Annual Meeting of Stockholders of the Company (the “Annual Meeting”) to be held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Monday, June 15, 2026, at 12:00 p.m. Eastern Time, online at https://www.virtualshareholdermeeting.com/GEMI2026. This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solicitation of proxies is made on behalf of our board of directors (the “Board”).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accordance with the rules of the Securities and Exchange Commission (“SEC”), we are furnishing our proxy materials,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including this proxy statement and our annual report, to our stockholders primarily via the Internet. On or about April 30, 2026,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began mailing to our stockholders a Notice of Internet Availability of Proxy Materials (the “Notice”) that contains instructions on how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access our proxy materials on the Internet. The Notice also contains instructions on how to vote via the Internet. Stockholders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request to receive all future proxy materials in printed form by mail or electronically by email by following the instructions contained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Notice.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Important Notice Regarding the Availability of Proxy Materials for the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Annual Meeting to be Held on Monday, June 15,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This proxy statement and our annual report are available at proxyvote.com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What Are You Voting On?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You will be asked to vote on the following proposals at the Annual Meeting: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1.Election of six directors to serve for a one-year term of office expiring at the 2027 annual meeting of stockholders;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2.Ratification of the appointment of Deloitte &amp; Touche LLP as our independent registered public accounting firm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fiscal year ending December 31, 2026; and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3.Any other matter that properly comes before the Annual Meeting or any postponement or adjournment thereof.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Who Can Vote?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At the close of business on April 20, 2026 (the “Record Date”), 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here were 43,999,845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hares of our Class A common stock, par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value $0.001 per share (“Class A Common Stock”), and 75,126,784 shares of our Class B common stock, par value $0.001 per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(“Class B Common Stock,” and together with the Class A Common Stock, “Common Stock”) issued and outstanding, respectively.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Only holders of record of our Common Stock as of the close of business on the Record Date are entitled to vote at the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Meeting. Each share of Class A Common Stock is entitled to one vote on each matter. Each share of Class B Common Stock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entitled to ten votes on each matter. The Class A Common Stock and Class B Common Stock vote together as a single class on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matters described in this proxy statement. In addition to holders of record of Common Stock, beneficial owners of shares of Common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 held in “street name” as of the Record Date can vote by following the instructions provided by your broker, bank, trust or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nominee.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Difference Between a Stockholder of Record and a “Street Name” Holder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your shares are registered directly in your name, you are considered the stockholder of record with respect to those shares.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your shares are held in a stock brokerage account or by a bank, trust or other nominee, then the broker, bank, trust or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nominee is considered to be the stockholder of record with respect to those shares. However, you are still considered to be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beneficial owner of those shares, and your shares are said to be held in “street name.” Street name holders generally cannot submit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proxy or vote their shares directly and must instead instruct the broker, bank, trust or other nominee how to vote their shares using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methods described below under the heading “Voting Your Shares.”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Quorum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presence of the holders of a majority of the Company’s capital stock issued and outstanding and entitled to vote at the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Meeting, in person or represented by proxy, constitutes a quorum. A quorum is required in order to hold and conduct business at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Annual Meeting. Your shares are counted as present at the Annual Meeting if you: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Are present in person at the virtual Annual Meeting;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Have properly submitted a proxy card online or by mail.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you submit your proxy, regardless of whether you abstain from voting on one or more matters, your shares will be counted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present at the Annual Meeting for the purpose of determining a quorum. If your shares are held in “street name,” your shares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counted as present for purposes of determining a quorum if your broker, bank, trust, or other nominee submits a proxy covering your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shares. Your broker, bank, trust or other nominee is entitled to submit a proxy covering your shares as to certain “routine” matters,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even if you have not instructed your broker, bank, trust or other nominee on how to vote on those matters. Please see below under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Broker Non-Votes.”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Voting Your Shares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Annual Meeting will be held entirely online. You may vote in person by attending the virtual Annual Meeting or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submitting a proxy. The method of voting by proxy differs (1) depending on whether you are viewing this proxy statement on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Internet or receiving a paper copy and (2) for shares held as a record holder and shares held in “street name.”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you are a record holder, you may vote by submitting a proxy online by following the instructions on the website referred to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proxy card and/or the Notice mailed to you.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Alternatively, if you received a paper copy of your proxy card, you may vote your shares by submitting a proxy online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following the instructions on the proxy card, or by completing, dating, and signing the proxy card that was included with this proxy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 and promptly returning it in the pre-addressed, postage-paid envelope provided to you.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your shares are held in “street name,” your broker, bank or other holder of your shares will provide you with instructions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you must follow to have your shares voted.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Deadline for Submitting Your Proxy on the Internet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Internet voting will close at 11:59 p.m., Eastern Time, on June 14, 2026. Stockholders who submit a proxy by Internet need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return a proxy card or the voting instruction form forwarded by your broker, bank, trust, or other nominee by mail.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YOUR VOTE IS VERY IMPORTANT. Please submit your vote in advance even if you plan to attend the Annual Meeting.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Voting at the Annual Meeting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you plan to attend the Annual Meeting, you may vote during the virtual meeting. Please note that if your shares are held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street name” and you wish to vote during the meeting, you must obtain a proxy issued in your name from your broker, bank, or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holder of your shares. Even if you intend to attend the Annual Meeting, we encourage you to submit your proxy or voting instructions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vote your shares in advance of the Annual Meeting. Please see the important instructions and requirements below under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Attendance at the Annual Meeting.”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Changing Your Vote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a stockholder of record, if you vote by proxy, you may revoke that proxy at any time before it is voted at the Annual Meeting.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Stockholders of record may revoke a proxy prior to the Annual Meeting by (i) delivering a written notice of revocation to the attention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the Secretary, Gemini Space Station, Inc., at 600 Third Avenue, 2nd Floor, New York, New York 10016, (ii) duly submitting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later-dated proxy over the Internet or by mail, or (iii) attending the virtual Annual Meeting and voting during the meeting. Attendance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at the Annual Meeting will not, by itself, revoke a proxy.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your shares are held in “street name,” you may change your voting instructions by following the instructions of your broker,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bank, trust or other nominee.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If You Receive More Than One Proxy Card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If you receive more than one proxy card, it means you hold shares that are registered in more than one account. To ensure that all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your shares are voted, sign and return each proxy card or, if you submit a proxy by the Internet, submit one proxy for each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card you receive.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How Your Shares Will Be Voted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Shares represented by proxies that are properly executed and returned, and not revoked, will be voted as specified. YOUR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IS VERY IMPORTANT.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If You Do Not Specify How You Want Your Shares Voted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If you are the record holder of your shares and submit an executed proxy without specifying how your shares are to be voted,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shares will be voted as follows: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 the election of each of the six director nominees; 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ratification of the appointment of Deloitte &amp; Touche LLP as our independent registered public accounting firm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fiscal year ending December 31,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addition, the proxy holders named in the proxy are authorized to vote in their discretion on any other matters that may properly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come before the Annual Meeting and at any postponement or adjournment thereof. The Board knows of no other items of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that will be presented for consideration at the Annual Meeting other than those described in this proxy statement.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Broker Non-Votes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“broker non-vote” occurs when a nominee holding shares for a beneficial owner has not received voting instructions from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beneficial owner and does not have discretionary authority to vote the shares. If you hold your shares in street name and do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provide voting instructions to your broker or other nominee, your shares will be considered to be broker non-votes and will not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voted on any proposal on which your broker or other nominee does not have discretionary authority to vote. Shares that constitute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broker non-votes will be counted as present at the Annual Meeting for the purpose of determining a quorum, but will not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considered entitled to vote on the proposal in question. Brokers generally have discretionary authority to vote on the ratification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selection of Deloitte &amp; Touche LLP as our independent registered public accounting firm. Brokers do not have discretionary authority,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however, to vote on the director elections.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Votes Required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summarizes the voting requirements and the effects of broker non-votes and “withhold” votes or abstentions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on each of the proposals to be voted on at the Annual Meeting:</w:t>
      </w:r>
    </w:p>
    <w:tbl>
      <w:tblPr>
        <w:tblW w:w="903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"/>
        <w:gridCol w:w="2266"/>
        <w:gridCol w:w="2896"/>
        <w:gridCol w:w="1516"/>
        <w:gridCol w:w="2101"/>
      </w:tblGrid>
      <w:tr>
        <w:trPr/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Proposals</w:t>
            </w:r>
          </w:p>
        </w:tc>
        <w:tc>
          <w:tcPr>
            <w:tcW w:w="289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Required Vote</w:t>
            </w:r>
          </w:p>
        </w:tc>
        <w:tc>
          <w:tcPr>
            <w:tcW w:w="151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Effect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Broker Non-Votes</w:t>
            </w:r>
          </w:p>
        </w:tc>
        <w:tc>
          <w:tcPr>
            <w:tcW w:w="210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Effect of Withhold Votes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or Abstentions</w:t>
            </w:r>
          </w:p>
        </w:tc>
      </w:tr>
      <w:tr>
        <w:trPr/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</w:t>
            </w:r>
          </w:p>
        </w:tc>
        <w:tc>
          <w:tcPr>
            <w:tcW w:w="226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Election of Directors</w:t>
            </w:r>
          </w:p>
        </w:tc>
        <w:tc>
          <w:tcPr>
            <w:tcW w:w="289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Plurality of votes cast for each nominee</w:t>
            </w:r>
          </w:p>
        </w:tc>
        <w:tc>
          <w:tcPr>
            <w:tcW w:w="151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None</w:t>
            </w:r>
          </w:p>
        </w:tc>
        <w:tc>
          <w:tcPr>
            <w:tcW w:w="2101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None</w:t>
            </w:r>
          </w:p>
        </w:tc>
      </w:tr>
      <w:tr>
        <w:trPr/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Ratification of Independent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Registered Public Accounting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Firm</w:t>
            </w:r>
          </w:p>
        </w:tc>
        <w:tc>
          <w:tcPr>
            <w:tcW w:w="28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Majority of votes cast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Not applicable</w:t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None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Inspector of Election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 votes will be tabulated by the inspector of election appointed for the Annual Meeting, who will separately tabulate affirmative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and negative votes, abstentions, and broker non-votes.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Solicitation of Proxies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will bear the cost of soliciting proxies. Copies of solicitation materials will be furnished to banks, brokerage houses,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fiduciaries and custodians holding shares of our Common Stock in their names that are beneficially owned by others to forward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those beneficial owners. We may reimburse persons representing beneficial owners for their costs of forwarding the solicitation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materials to the beneficial owners. Original solicitation of proxies may be supplemented by telephone, facsimile, electronic mail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personal solicitation by our directors, officers or other employees. No additional compensation will be paid to our directors, officers,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or other employees for such services.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Attendance at the Annual Meeting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You may attend the Annual Meeting, as well as vote and submit questions during the Annual Meeting, by visiting https://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www.virtualshareholdermeeting.com/GEMI2026. You will need your unique control number, which appears in the proxy card, Notice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or voting instructions that accompanied the proxy materials. In the event that you do not have a control number, please contact your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broker, bank, or other nominee as soon as possible so that you can be provided with a control number and gain access to the meeting.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PROPOSAL 1 – ELECTION OF DIRECTORS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board of directors currently consists of six members. Our Board has nominated each of the following six persons to stand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election for a term expiring at the 2027 annual meeting of stockholders and until their successors are duly elected and qualified or until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their earlier death, resignation, retirement, disqualification or removal: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Tyler Winklevoss;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Cameron Winklevoss;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Jonathan Durham;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James Anthony Esposito;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Maria Filipakis;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Sachin Chand Jaitly.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Each of the director nominees is a current director of our Company. Each of the nominees has consented to serve as a director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Board. Should any of the nominees become unable to serve for any reason prior to the Annual Meeting, the Board may designate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substitute nominee, in which event the persons named in the enclosed proxy will vote for the election of such substitute nominee,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may reduce the number of directors on the Board.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is responsible for, upon the recommendation of the Nominating and Governance Committee, nominating director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candidates for election by stockholders and for filling vacancies arising between annual meetings. The Nominating and Governance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Committee is responsible for identifying, screening and recommending candidates to the Board for membership. The Nominating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Governance Committee also considers director candidates recommended by stockholders and formal stockholder nominations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submitted in accordance with the Company’s governing documents. The Board evaluates director nominees in the same manner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whether a stockholder or the board has recommended the candidate.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Nominating and Governance Committee is responsible for developing and recommending to the Board the desired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qualifications, expertise and characteristics of Board members. Because the identification, evaluation, and selection of qualified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directors is a complex and subjective process that requires consideration of many intangible factors and will be significantly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influenced by the particular needs of our Board from time to time, we have not adopted a specific set of minimum qualifications,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qualities, or skills that are necessary for a nominee to possess, other than those that are necessary to meet U.S. legal, regulatory,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listing requirements and the provisions of our governing documents. Among the qualifications considered in the selection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 candidates, the Board considers a variety of relevant factors that the Board considers appropriate, from time to time,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context of the needs of the Board. 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have set forth below information regarding each person nominated to stand for election, including the specific experience,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qualifications, attributes, or skills that led the Board to conclude that such person should serve as a director.  Our Nominating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Governance Committee and Board believe that the experience, qualifications, attributes and skills of our director nominees provide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Company with the ability to address the evolving needs of the Company and represent the best interests of our stockholders.</w:t>
      </w:r>
    </w:p>
    <w:tbl>
      <w:tblPr>
        <w:tblW w:w="72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6"/>
        <w:gridCol w:w="109"/>
        <w:gridCol w:w="109"/>
        <w:gridCol w:w="436"/>
        <w:gridCol w:w="109"/>
        <w:gridCol w:w="109"/>
        <w:gridCol w:w="4141"/>
        <w:gridCol w:w="154"/>
      </w:tblGrid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Age</w:t>
            </w:r>
          </w:p>
        </w:tc>
        <w:tc>
          <w:tcPr>
            <w:tcW w:w="109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Position</w:t>
            </w:r>
          </w:p>
        </w:tc>
        <w:tc>
          <w:tcPr>
            <w:tcW w:w="154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Tyler Winklevoss</w:t>
            </w:r>
          </w:p>
        </w:tc>
        <w:tc>
          <w:tcPr>
            <w:tcW w:w="109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</w:t>
            </w:r>
          </w:p>
        </w:tc>
        <w:tc>
          <w:tcPr>
            <w:tcW w:w="109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Co-Founder, Chief Executive Officer and Director</w:t>
            </w:r>
          </w:p>
        </w:tc>
        <w:tc>
          <w:tcPr>
            <w:tcW w:w="154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Cameron Winklevoss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Co-Founder, President and Director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Jonathan Durham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James Anthony Esposito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Maria Filipakis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Sachin Chand Jaitly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Tyler Winklevoss.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Mr. Tyler Winklevoss is Gemini’s Co-Founder and Chief Executive Officer, and has served as a director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Gemini since August 2025. From November 2021 until our initial public offering (“IPO”) in September 2025, Mr. Tyler Winklevoss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served as a member of the board of managers of Gemini Space Station, LLC (“Gemini LLC”), our wholly-owned subsidiary. Mr.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Tyler Winklevoss is also the Co-Founder and Principal of Winklevoss Capital Fund, LLC (“WCF”), a private investment firm he co-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founded in 2012, which invests in a variety of asset classes with a focus on early-stage, technology startups. He graduated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Harvard University with a Bachelor of Arts in Economics in 2004 and received a Masters of Business Administration from the Saïd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 School at the University of Oxford in 2010. Together with his brother, Cameron, he represented the United States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finished sixth in the men’s pair rowing event at the 2008 Summer Olympic Games in Beijing, China. Mr. Winklevoss began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participating in the digital asset space through direct investment in bitcoin in 2012. We believe Mr. Winklevoss is qualified to serve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member of the Board because of his perspective and experience building and leading our business as a Co-Founder and Chief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 Officer.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Cameron Winklevoss.</w:t>
      </w:r>
      <w:r>
        <w:rPr>
          <w:caps w:val="false"/>
          <w:smallCaps w:val="false"/>
          <w:u w:val="single"/>
        </w:rPr>
        <w:t>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Mr. Cameron Winklevoss is the Co-Founder and President of Gemini, and has served as a director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Gemini since August 2025. From November 2021 until our IPO in September 2025, Mr. Cameron Winklevoss served as a member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of managers of Gemini LLC. Mr. Cameron Winklevoss is also the Co-Founder and Principal of WCF, a private investment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firm he co-founded in 2012, which invests in a variety of asset classes with a focus on early-stage, technology startups. He graduated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from Harvard University with a Bachelor of Arts in Economics in 2004 and received a Masters of Business Administration from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Saïd Business School at the University of Oxford in 2010. Together with his brother, Tyler, he represented the United States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finished sixth in the men’s pair rowing event at the 2008 Summer Olympic Games in Beijing, China. Mr. Winklevoss began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participating in the digital asset space through direct investment in bitcoin in 2012. We believe Mr. Winklevoss is qualified to serve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member of the Board because of his perspective and experience building and leading our business as a Co-Founder and President.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 xml:space="preserve">Jonathan Durham.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Mr. Jonathan Durham has served as a director of Gemini since August 2025 and as a member of the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managers of Gemini Trust Company, LLC (“Gemini Trust”), our indirect wholly-owned subsidiary, from 2015 until 2024.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Mr. Durham is currently a Managing Director and Global Head of General Atlantic’s Technology Buyouts, where he focuses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corporate buyouts in the technology sector and tech-enabled business models globally. He is also a member of the board of directors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Hire Right. Previously, Mr. Durham served as a director of EverCommerce, a portfolio investment of SilverLake. Prior to that,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Mr. Durham spent more than 16 years with SilverLake, where his investments included market leaders in software, fintech, digital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marketing, and education technology. Mr. Durham holds a Bachelor of Arts in History from Harvard University. We believe Mr.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Durham is qualified to serve as a member of the Board because of his strategic and operational expertise and his extensive experience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Gemini.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 xml:space="preserve">James Anthony Esposito.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Mr. Jim Esposito has served as a director of Gemini since August 2025. Mr. Esposito is a fintech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services executive with over 30 years of leadership experience, and over 20 years of experience across banking, payments,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equities, card issuance, consumer lending, and crypto. He has spent the last 10 years scaling businesses, including Cash App, Square,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Etsy. Mr. Esposito currently is the Chief Operating Officer for Brale, Inc., a stablecoin issuance and orchestration platform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businesses. He also serves as a strategic advisor to fintech companies.. Previously, he served as Chief Operating Officer at Credit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Genie, a cash advance fintech where he remains as an advisor, and at MoonPay, a crypto infrastructure company. Prior to that,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Mr. Esposito was a member of the Cash App executive team, where he served as the licensed President and CEO of Cash App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Investing, LLC, as well as led Etsy Payments and Partnerships and Operations at Square. Mr. Esposito started his career in technology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at Nortel Networks and later Andrx (n/k/a Allergan), before spending eight years building and leading the payments business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Subway globally. Mr. Esposito has also previously served as a director of Merchant Advisory Group. Mr. Esposito holds a Bachelor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Arts from Tulane University and a Masters in Business Administration from Nova Southeastern University. We believe Mr. Esposito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is qualified to serve as a member of the Board because of his strategic and operational expertise and his experience in senior leadership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roles at other financial services, crypto, and fintech companies.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 xml:space="preserve">Maria Filipakis.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Ms. Maria Filipakis has served as a director of Gemini since August 2025 and as a member of the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managers of Gemini Trust since April 2022. Ms. Filipakis has over 20 years of experience across both public and private sectors,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background in regulatory and compliance. In addition to serving as a member of Gemini Trust’s board of managers, Ms. Filipakis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presently serves as a Senior Managing Director at FTI Consulting, a regulatory advisory firm specializing in digital assets, banking,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insurance, and cybersecurity. Previously, she served as Managing Partner at the Topside Group, Managing Director at Global Atlantic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Company, and as Executive Deputy Superintendent at the NYDFS, where she led the Capital Markets Division.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Ms. Filipakis has also held senior enforcement and legal roles at the New York State Attorney General’s Office and Insurance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Department, advising on securities fraud, financial crimes, and supervisory policy. She holds a Bachelor of Arts from New York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University and a Juris Doctor from Brooklyn Law School. We believe Ms. Filipakis is qualified to serve as a member of the Board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because of her significant experience and background in regulatory and compliance.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 xml:space="preserve">Sachin Chand Jaitly.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Dr. Sachin Chand Jaitly has served as a director of Gemini since August 2025 and the Chair of Gemini's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Audit &amp; Risk Committee. From November 2021 until our IPO in September 2025, Dr. Jaitly previously served as a member of Gemini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LLC’s board of managers. Since 2024, Dr. Jaitly has served as a director of Figure Technology Solutions, Inc. (Nasdaq: FIGR)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presently also serves as the chairperson of Figure’s audit committee. Since April 2021, Dr. Jaitly has also served as General Partner 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Morgan Creek Capital Management, LLC, where he founded Morgan Creek Digital, a venture capital fund focused on Web3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technologies, and since January 2018, he has also served as founding Managing Partner of Tessera Venture Partners, a venture capital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fund focused on blockchain and AI. Previously, Dr. Jaitly co-founded flexEngage, Inc. and held various leadership roles at Datalogix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Holdings Inc., The Neat Company, Nokia Corporation, and General Electric. Dr. Jaitly holds a Bachelor of Arts in International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 and a Masters of Business Administration in Finance and Management from Rollins College, as well as a Doctor of Business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Administration in Finance from the University of Florida. Dr. Jaitly also holds executive education certificates in Blockchain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Technologies, Business Innovation and Application from the Massachusetts Institute of Technology and Audit Committees in a New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Era of Governance from Harvard Business School. We believe Dr. Jaitly is qualified to serve as a member of the Board because of his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investment, financial, and operational expertise, as well as his extensive experience and investments in the digital asset space.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Required Vote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Each director will be elected by a plurality of the votes cast by the shares present in person, or represented by proxy, and entitled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to vote.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BOARD OF DIRECTORS UNANIMOUSLY RECOMMENDS A VOTE FOR EACH OF THE ABOVE NOMINEES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ELECTION AS DIRECTORS TO THE 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BOARD OF DIRECTORS AND CORPORATE GOVERNANCE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Director Independence 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undertook a review of the independence of our directors and considered whether any director has a material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relationship with the Company that could compromise that director’s ability to exercise independent judgment in carrying out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director’s responsibilities. The Board has affirmatively determined that Mr. Jaitly, Mr. Durham, Mr. Esposito, and Ms. Filipakis 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meet the definition of an “independent director” under the rules of Nasdaq. In making these determinations, the Board considered 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relevant factors, including, but not limited to, stock ownership, the receipt of compensation from the Company, and any affiliate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relationships.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Gemini is a “controlled company” within the meaning of the corporate governance standards of the Nasdaq. Under these rules,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company of which more than 50% of the voting power is held by an individual, group or another company is a “controlled company”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may elect not to comply with certain corporate governance requirements, including the requirements that within one year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completion of our initial public offering (“IPO”), which was completed on September 15, 2025, we have a compensation committee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a nomination committee that are composed entirely of independent directors. As a controlled company, our Nominating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Governance Committee is not composed entirely of independent directors. In the event we cease to be a “controlled company” and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shares continue to be listed on the Nasdaq, we will be required to comply with these provisions within the applicable transition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periods.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Tyler Winklevoss and Cameron Winklevoss are brothers. There are no other family relationships among any of our directors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 officers.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Composition of the Board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business and affairs are managed under the direction of the Board. Our amended and restated bylaws provide that the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directors shall be fixed from time to time by resolution(s) adopted by the Board or the holders of at least a majority of the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power of the outstanding shares of common stock of the Company. The Board currently consists of six directors: Tyler Winklevoss,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Cameron Winklevoss, Jonathan Durham, James Anthony Esposito, Maria Filipakis, and Sachin Chand Jaitly.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Board Leadership Structure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the Company’s amended and restated bylaws, the Board shall elect both a Chair and a Vice Chair. The Chair presides at 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meetings of the Board and stockholders at which he or she is present. The Vice Chair presides at such meetings in the absence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Chair.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does not have a policy as to whether the Chair should be an independent director, an affiliated director, or a member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management. The Board exercises its discretion in combining or separating these positions as it deems appropriate in the best interests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the Company.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Currently, Tyler Winklevoss, our Chief Executive Officer, serves as the Chair of the Board, Cameron Winklevoss, our President,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serves as the Vice Chair of the Board, and Jonathan Durham, an independent director, serves as the Lead Independent Director.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Board believes its current leadership structure is appropriate because it effectively allocates authority, responsibility, and oversight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between management and the independent members of our Board. It does this by giving primary responsibility for the operational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leadership and strategic direction of the Company to our Chair and Chief Executive Officer, while the Lead Independent Director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presides over executive sessions of the independent directors and serves as a liaison between the independent directors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management. The Board believes that this structure, with Mr. Winklevoss serving as Chair and Chief Executive Officer and Mr.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Durham serving as Lead Independent Director, provides an appropriate balance of strategic leadership and independent oversight.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Board’s Role in Risk Oversight 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management is responsible for identifying risks facing our Company, including strategic, financial, operational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regulatory risks, implementing risk management policies and procedures and managing our day-to-day risk exposure.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Audit and Risk Committee assists the Board in fulfilling its oversight responsibilities relating to risk assessment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management, internal audit, regulatory matters and compliance with legal and regulatory requirements. The Audit and Risk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Committee reviews with management, as applicable, the Company’s major financial risks and enterprise exposures, cybersecurity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information technology risks, other risk exposures in areas including financial, operational, technology, legal and compliance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risk, and the Company’s processes and policies for determining risk tolerance. The Audit and Risk Committee also reviews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Company’s programs for promoting and monitoring compliance with applicable legal and regulatory requirements and regularly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reports to the Board on its activities.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is presented with information at its regularly scheduled and special meetings regarding risks facing our Company,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management provides more frequent, informal communications to the Board between regularly scheduled meetings which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designed to give the Board updates about our business. The Board considers this information and provides feedback, makes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recommendations, and, as appropriate, may authorize or direct management to address particular exposures to risk.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Committees of the Board of Directors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directs the management of our business and affairs, and conducts its business through meetings of the Board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standing committees. We have a standing Audit and Risk Committee, Compensation Committee, and Nominating and Governance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Committee, each of which operates under a written charter. The Board may from time to time establish other committees.</w:t>
      </w:r>
    </w:p>
    <w:tbl>
      <w:tblPr>
        <w:tblW w:w="71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61"/>
        <w:gridCol w:w="1351"/>
        <w:gridCol w:w="1321"/>
        <w:gridCol w:w="2596"/>
      </w:tblGrid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Member</w:t>
            </w:r>
          </w:p>
        </w:tc>
        <w:tc>
          <w:tcPr>
            <w:tcW w:w="13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Audit and Risk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Committee</w:t>
            </w:r>
          </w:p>
        </w:tc>
        <w:tc>
          <w:tcPr>
            <w:tcW w:w="132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Compensation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Committee</w:t>
            </w:r>
          </w:p>
        </w:tc>
        <w:tc>
          <w:tcPr>
            <w:tcW w:w="25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Nominating and Governance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Committee</w:t>
            </w:r>
          </w:p>
        </w:tc>
      </w:tr>
      <w:tr>
        <w:trPr/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Tyler Winklevoss</w:t>
            </w:r>
          </w:p>
        </w:tc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Cameron Winklevoss</w:t>
            </w:r>
          </w:p>
        </w:tc>
        <w:tc>
          <w:tcPr>
            <w:tcW w:w="1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X</w:t>
            </w:r>
          </w:p>
        </w:tc>
      </w:tr>
      <w:tr>
        <w:trPr/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Sachin Chand Jaitly</w:t>
            </w:r>
          </w:p>
        </w:tc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Chair</w:t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Jonathan Durham</w:t>
            </w:r>
          </w:p>
        </w:tc>
        <w:tc>
          <w:tcPr>
            <w:tcW w:w="1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X</w:t>
            </w:r>
          </w:p>
        </w:tc>
        <w:tc>
          <w:tcPr>
            <w:tcW w:w="25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James Anthony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Esposito</w:t>
            </w:r>
          </w:p>
        </w:tc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X</w:t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Chair</w:t>
            </w:r>
          </w:p>
        </w:tc>
        <w:tc>
          <w:tcPr>
            <w:tcW w:w="25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Maria Filipakis</w:t>
            </w:r>
          </w:p>
        </w:tc>
        <w:tc>
          <w:tcPr>
            <w:tcW w:w="13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X</w:t>
            </w:r>
          </w:p>
        </w:tc>
        <w:tc>
          <w:tcPr>
            <w:tcW w:w="13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Chair</w:t>
            </w:r>
          </w:p>
        </w:tc>
      </w:tr>
      <w:tr>
        <w:trPr/>
        <w:tc>
          <w:tcPr>
            <w:tcW w:w="18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Meetings in 2025</w:t>
            </w:r>
          </w:p>
        </w:tc>
        <w:tc>
          <w:tcPr>
            <w:tcW w:w="13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32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259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0*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  <w:u w:val="single"/>
        </w:rPr>
        <w:t>* The Nominating and Governance Committee was established in connection with our IPO in September 2025 and, as a result, did not meet during the fiscal year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6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  <w:u w:val="single"/>
        </w:rPr>
        <w:t>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Audit and Risk Committee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Audit and Risk Committee is responsible for, among other things: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appointing, compensating, retaining, evaluating, terminating and overseeing our independent registered public accounting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firm;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discussing with our independent registered public accounting firm their independence from management;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reviewing with our independent registered public accounting firm the scope and results of their audit;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approving all audit and permissible non-audit services to be performed by our independent registered public accounting firm;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overseeing the financial reporting process and discussing with management and our independent registered public accounting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firm the quarterly and annual financial statements that we file with the SEC;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overseeing our financial and accounting controls and compliance with legal and regulatory requirements;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reviewing our policies on risk assessment and risk management;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reviewing related party transactions;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establishing procedures for the confidential, anonymous submission of concerns regarding questionable accounting, internal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controls or auditing matters;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internal audit; and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risk.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Audit and Risk committee consists of Mr. Jaitly, Mr. Esposito, and Ms. Filipakis, with Mr. Jaitly serving as chair.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has affirmatively determined that Mr. Jaitly, Mr. Esposito and Ms. Filipakis each meet the definition of “independent director”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purposes of serving on the committee under Rule 10A-3 under the Exchange Act and the rules of Nasdaq. Each member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Risk Committee also meets the financial literacy requirements of Nasdaq. In addition, the Board has determined that Mr. Jaitly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qualifies as an “audit committee financial expert,” as such term is defined in Item 407(d)(5) of Regulation S-K. The Board has adopted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 written charter for the Audit and Risk Committee, which is available on our website at www.gemini.com. The information contained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on, or that can be accessed through, our website is not incorporated by reference into, and does not form a part of, this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statement.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Compensation Committee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Compensation Committee is responsible for, among other things: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reviewing, modifying and approving our overall compensation strategy and policies;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reviewing and approving the terms of any employment agreements, severance arrangements, change in control protections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any other compensatory arrangements for our executive officers;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overseeing our stock and equity incentive plans;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appointing and overseeing any compensation consultants.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Compensation Committee consists of Mr. Durham and Mr. Esposito, with Mr. Esposito serving as chair. The Board has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affirmatively determined that each of Mr. Durham and Mr. Esposito is qualified to serve on the committee under the rules of Nasdaq.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has adopted a written charter for the Compensation Committee, which is available on our website at www.gemini.com.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information contained on, or that can be accessed through, our website is not incorporated by reference into, and does not form a part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of, this proxy statement. In accordance with its charter, the Compensation Committee may from time to time delegate authority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subcommittees, consisting of one or more members of the Compensation Committee. The Compensation Committee may also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time to time delegate authority to the CEO (either alone or acting together with one or more officers of the Company) to make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grants to service providers of the Company or of any subsidiary of the Company who are not executive officers or directors.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Nominating and Governance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Our Nominating and Governance Committee is responsible for, among other things: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identifying individuals qualified to become members of our board of directors, consistent with criteria approved by our board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directors;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evaluating the overall effectiveness of our board of directors and its committees;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developing and recommending to our board of directors a set of corporate governance principles, reviewing and assessing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principles and their application and recommending to our board of directors any changes to such principles.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Nominating and Governance Committee consists of Ms. Filipakis and Mr. Cameron Winklevoss, with Ms. Filipakis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serving as chair. As permitted by the controlled company exemptions under the rules of Nasdaq, the committee is not composed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entirely of independent directors; the Board determined that one member, Mr. Cameron Winklevoss, is not independent.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has adopted a written charter for the Nominating and Governance Committee, which is available on our website at www.gemini.com.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information contained on, or that can be accessed through, our website is not incorporated by reference into, and does not form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part of, this proxy statement.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Director Attendance at Board, Committee and Annual Meetings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held two meetings during the fiscal year ended December 31, 2025. Each incumbent director serving during fiscal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2025 attended at least 75% of the aggregate of all meetings of the Board and all meetings of committees of which such director was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member during the period for which such director served. Directors are expected to attend the Company’s annual meeting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Code of Conduct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have adopted a written Code of Business Conduct and Ethics that applies to all of our directors, officers and employees,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including our chief executive officer and chief financial officer. Our Code of Business Conduct and Ethics is available on our website,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www.gemini.com. Our Code of Business Conduct and Ethics is a “code of ethics,” as defined in Item 406(b) of Regulation S-K. We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will make any disclosures that are required by law or the rules of Nasdaq regarding amendments to, or waivers of, provisions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Code of Business Conduct and Ethics on our website.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information contained on, or that can be accessed through, our website is not incorporated by reference into, and does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form a part of, this proxy statement.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Communications with the Board of Directors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Stockholders of the Company and other interested parties wishing to communicate with the Board or an individual director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send a written communication to the board or such director at the following address: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c/o Gemini Space Station, Inc.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600 Third Avenue, 2</w:t>
      </w:r>
      <w:r>
        <w:rPr>
          <w:rFonts w:ascii="Times New Roman;serif" w:hAnsi="Times New Roman;serif"/>
          <w:b/>
          <w:i w:val="false"/>
          <w:caps w:val="false"/>
          <w:smallCaps w:val="false"/>
          <w:sz w:val="13"/>
        </w:rPr>
        <w:t>nd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Floor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New York, New York 10016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Attn: Secretary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Secretary will review each communication and will forward such communication to the Board or to any individual director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whom the communication is addressed unless the communication contains advertisements or solicitations or is unduly hostile,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threatening or similarly inappropriate, in which case the Secretary shall discard the communication or inform the proper authorities,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may be appropriate.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DIRECTOR COMPENSATION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Prior to the consummation of our IPO on September 15, 2025, we did not have a formal non-employee director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program. None of our directors received any compensation for their services as directors of the Company during the 2025 fiscal year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prior to the completion of the IPO.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connection with our IPO, we adopted the Gemini Space Station, Inc. Non-Employee Director Compensation Policy (the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 Compensation Policy”), which is designed to attract and retain the most qualified individuals to serve on our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directors (the “Board”). We intend to periodically evaluate the Director Compensation Policy as part of our regular review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overall compensation program and strategy.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the Director Compensation Policy, our non-employee directors are eligible to receive cash retainers, which are payable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quarterly and pro-rated for partial quarters of service, as set forth below.</w:t>
      </w:r>
    </w:p>
    <w:tbl>
      <w:tblPr>
        <w:tblW w:w="8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606"/>
        <w:gridCol w:w="146"/>
        <w:gridCol w:w="390"/>
        <w:gridCol w:w="391"/>
        <w:gridCol w:w="154"/>
      </w:tblGrid>
      <w:tr>
        <w:trPr/>
        <w:tc>
          <w:tcPr>
            <w:tcW w:w="7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0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gridSpan w:val="4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Annual Retainer for Board Service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Annual service on the board of directors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1" w:type="dxa"/>
            <w:gridSpan w:val="2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$75,000</w:t>
            </w:r>
          </w:p>
        </w:tc>
        <w:tc>
          <w:tcPr>
            <w:tcW w:w="1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Additional retainer for annual service as a lead independent director of the board of directors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$50,000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Additional Annual Retainer for Committee Chairpersons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Annual service as audit and risk committee chairperson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$25,000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Annual service as compensation committee chairperson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1" w:type="dxa"/>
            <w:gridSpan w:val="2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$20,000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Annual service as nominating and governance committee chairperson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$15,000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33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Each individual who first becomes a non-employee director (other than at an annual meeting of the Company’s stockholders)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eligible to receive a one-time initial restricted stock unit ("RSU") grant with a grant date value of $200,000. Each of our non-employee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directors received a one-time initial RSU grant on September 11, 2025, with the aggregate number of RSUs subject to these grants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determined by dividing $200,000 by the IPO price and rounding down to the nearest whole share, resulting in the issuance of 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aggregate of 7,142 RSUs to each non-employee director, based on an IPO price of $28.00 per share of Class A common stock.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RSUs vest on the first anniversary of the grant date, subject to the non-employee director’s continuous service through such date.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Each individual who is serving as a non-employee director at an annual meeting of the Company’s stockholders (including 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individual who first becomes a non-employee director at such annual meeting) is eligible to receive an annual RSU grant with a grant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date value of $200,000 on the trading day following such annual meeting, which vests on the earlier to occur of (i) the first anniversary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the grant date and (ii) the day immediately preceding the first annual meeting of stockholders to occur after the grant date, in 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case, subject to the non-employee director’s continuous service through such date. A non-employee director is not eligible to receive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 annual RSU grant if such individual previously received a one-time initial RSU grant during the same calendar year. In the event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change in control, all then-outstanding RSUs held by non-employee directors become fully vested. The aggregate amount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compensation, including both equity compensation and cash compensation, paid to any of our non-employee directors for service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 non-employee director in a calendar year period will not exceed $1,000,000; provided, however, that such maximum will instead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$2,000,000 for the first year in which a non-employee director serves on the Board (or the second year, if such non-employee director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does not receive any awards under the Gemini Space Station, Inc. 2025 Omnibus Incentive Plan (the “Equity Plan”) during the first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year).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reimburse all reasonable out-of-pocket expenses incurred by non-employee directors for their attendance at meetings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Board or any committee thereof.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Director Compensation Table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presents fiscal year 2025 compensation information for our non-employee directors who served during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 of the year. Our employee directors during 2025, Cameron Winklevoss, Tyler Winklevoss and Marshall Beard, received no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additional compensation for their service on the Board.</w:t>
      </w:r>
    </w:p>
    <w:tbl>
      <w:tblPr>
        <w:tblW w:w="52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6"/>
        <w:gridCol w:w="1441"/>
        <w:gridCol w:w="1306"/>
        <w:gridCol w:w="736"/>
      </w:tblGrid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Name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Fees earned or paid 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cash ($)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9"/>
              </w:rPr>
              <w:t>(1)</w:t>
            </w:r>
          </w:p>
        </w:tc>
        <w:tc>
          <w:tcPr>
            <w:tcW w:w="130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Stock awards ($)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9"/>
              </w:rPr>
              <w:t>(2)(3)</w:t>
            </w:r>
          </w:p>
        </w:tc>
        <w:tc>
          <w:tcPr>
            <w:tcW w:w="73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 ($)</w:t>
            </w:r>
          </w:p>
        </w:tc>
      </w:tr>
      <w:tr>
        <w:trPr/>
        <w:tc>
          <w:tcPr>
            <w:tcW w:w="1816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Sachin Chand Jaitly</w:t>
            </w:r>
          </w:p>
        </w:tc>
        <w:tc>
          <w:tcPr>
            <w:tcW w:w="1441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50,000</w:t>
            </w:r>
          </w:p>
        </w:tc>
        <w:tc>
          <w:tcPr>
            <w:tcW w:w="1306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199,976</w:t>
            </w:r>
          </w:p>
        </w:tc>
        <w:tc>
          <w:tcPr>
            <w:tcW w:w="736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249,976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Jonathan Durham</w:t>
            </w:r>
          </w:p>
        </w:tc>
        <w:tc>
          <w:tcPr>
            <w:tcW w:w="14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37,500</w:t>
            </w:r>
          </w:p>
        </w:tc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199,976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237,476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James Anthony Esposito</w:t>
            </w:r>
          </w:p>
        </w:tc>
        <w:tc>
          <w:tcPr>
            <w:tcW w:w="14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47,500</w:t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199,976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247,476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Maria Filipakis</w:t>
            </w:r>
          </w:p>
        </w:tc>
        <w:tc>
          <w:tcPr>
            <w:tcW w:w="14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45,000</w:t>
            </w:r>
          </w:p>
        </w:tc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199,976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244,976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(1)Represents amounts earned in respect of Board service in 2025 pursuant to our Director Compensation Policy.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(2)The amounts reported in this column represent the aggregate grant date fair value of RSU awards for Class A common stock made to directors in 2025, 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computed in accordance with Financial Accounting Standards Board (“FASB”) Accounting Standards Codification, Topic 718 (“ASC 718”). These amounts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reflect the accounting cost for these RSUs and do not represent the actual economic value that may be realized by the director. For information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assumptions used to calculate the grant date fair value of the RSU awards, refer to Note 2 to our audited consolidated financial statements included in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Annual Report on Form 10-K for the year ended December 31, 2025—“Stock-based Compensation—Valuation of Awards.”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(3)As of December 31, 2025, outstanding equity awards consisted of 7,142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RSUs for each of Mr. Jaitly, Mr. Durham, Mr. Esposito and Ms. Filipakis.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addition, as of December 31, 2025, Ms. Filipakis held 4,957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restricted shares of Class A common stock relating to the conversion of her previously granted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profits interest units ("PIUs") in connection with our IPO, which was unrelated to her service as a non-employee director of the Company (and such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conversion had an incremental compensation cost of $0 under FASB ASC 718 and is therefore not included in this table).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PROPOSAL 2 – RATIFICATION OF INDEPENDENT REGISTERED PUBLIC ACCOUNTING FIRM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Audit and Risk Committee is responsible for the selection, appointment, compensation, retention, and oversight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Company’s independent auditors. In connection with this responsibility, the Audit and Risk Committee evaluates and monitors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auditors’ qualifications, performance, and independence. This responsibility includes a review and evaluation of the independent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auditors. The Audit and Risk Committee approves all audit engagement fees and terms associated with the retention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independent auditors.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a matter of good corporate governance, the Board is requesting our stockholders to ratify the Audit and Risk Committee’s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selection of Deloitte &amp; Touche LLP as our independent registered public accounting firm for the fiscal year ending December 31,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2026. Deloitte &amp; Touche LLP has served as our independent registered public accounting firm since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2022.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Audit and Risk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Committee and the Board believe that the continued retention of Deloitte &amp; Touche LLP as our independent auditors is in the best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interests of the Company. The Audit and Risk Committee carefully considered the selection of Deloitte &amp; Touche LLP as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independent auditors. The Audit and Risk Committee charter requires the Audit and Risk Committee to periodically consider whether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independent audit firm should be rotated. In addition to evaluating rotation of the independent auditors, the Audit and Risk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Committee oversees the selection of the new lead audit partner, and the Audit and Risk Committee chair participates directly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selection of the new lead audit partner.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the stockholders do not ratify the selection, the Audit and Risk Committee will reconsider its selection. Even if the selection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ratified, the Audit and Risk Committee, in its discretion, may direct the appointment of a different independent registered public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accounting firm at any time during the year if the Audit and Risk Committee determines that such a change would be in the best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interests of the Company and our stockholders.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Representatives from Deloitte &amp; Touche are expected to be present at the Annual Meeting and will have an opportunity to make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 at the Annual Meeting if they desire to do so and are expected to be available to respond to appropriate questions at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Annual Meeting.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Required Vote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Approval by the affirmative vote of a majority of the votes cast is required to ratify the selection of Deloitte &amp; Touche LLP. 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BOARD OF DIRECTORS UNANIMOUSLY RECOMMENDS THAT STOCKHOLDERS VOTE IN FAVOR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RATIFICATION OF THE APPOINTMENT OF DELOITTE &amp; TOUCHE LLP AS OUR INDEPENDENT REGISTERED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PUBLIC ACCOUNTING FIRM FOR THE FISCAL YEAR ENDING DECEMBER 31,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Fees Billed by the Principal Accountant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sets forth all fees billed for professional audit services and other services rendered by Deloitte &amp; Touche LLP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 the years ended December 31, 2025 and 2024 (in thousands):</w:t>
      </w:r>
    </w:p>
    <w:tbl>
      <w:tblPr>
        <w:tblW w:w="30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91"/>
        <w:gridCol w:w="691"/>
        <w:gridCol w:w="109"/>
        <w:gridCol w:w="646"/>
      </w:tblGrid>
      <w:tr>
        <w:trPr/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2024</w:t>
            </w:r>
          </w:p>
        </w:tc>
      </w:tr>
      <w:tr>
        <w:trPr/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Audit Fees</w:t>
            </w:r>
          </w:p>
        </w:tc>
        <w:tc>
          <w:tcPr>
            <w:tcW w:w="691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$8,906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$5,140</w:t>
            </w:r>
          </w:p>
        </w:tc>
      </w:tr>
      <w:tr>
        <w:trPr/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Audit-Related Fees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366</w:t>
            </w:r>
          </w:p>
        </w:tc>
      </w:tr>
      <w:tr>
        <w:trPr/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Tax Fees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687</w:t>
            </w:r>
          </w:p>
        </w:tc>
      </w:tr>
      <w:tr>
        <w:trPr/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All Other Fees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Total</w:t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$10,300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$6,195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(1)"Audit fees" include fees for audit services primarily related to the audit of our annual consolidated financial statements; audit services related to our subsidiaries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in connection with statutory and regulatory filings; the review of our quarterly consolidated financial statements; the review of documents filed with the SEC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;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services in connection with our initial public offering and related transactions completed in 2025; and other accounting and financial reporting consultation and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research work billed as audit fees or necessary to comply with the standards of the Public Company Accounting Oversight Board (United States).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(2)"Audit-related fees" primarily consists of fees for procedures performed in connection with service organizational control reports, comfort letters, consents, and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for consultation regarding financial accounting and reporting matters.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(3)"Tax fees" include fees for tax compliance and advice. Tax advice fees encompass a variety of permissible tax services, including technical tax advice related to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federal and state income tax matters, assistance with sales tax, and assistance with tax audits.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(4)"Other fees" include fees for services other than the services reported in audit fees, audit-related fees, and tax fees. These services primarily include fees for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compliance-related services and agreed-upon-procedures.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Audit and Risk Committee Pre-Approval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Audit and Risk Committee is responsible for approving all audit and non-audit related services permitted by Nasdaq,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SEC, and applicable law or regulations, specified in its charter. The Audit and Risk Committee reviews and, in its sole discretion,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approves in advance the independent auditors’ fees and other compensation, as well as audit and permitted non-audit services.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Approval of audit and permitted non-audit services will be made by the Audit and Risk Committee or as otherwise provided for in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pre-approval policies and procedures, if any, approved by the Audit and Risk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AUDIT AND RISK COMMITTEE REPORT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Audit and Risk Committee reviewed and discussed the audited consolidated financial statements for the fiscal year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December 31, 2025, with our management and with our independent registered public accounting firm, Deloitte &amp; Touche LLP.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addition, the Audit and Risk Committee discussed with Deloitte &amp; Touche LLP the matters required to be discussed by the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requirements of the Public Company Accounting Oversight Board (the “PCAOB”) and the SEC. The Audit and Risk Committee also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discussed with Deloitte &amp; Touche LLP the written disclosures and the independence letter from Deloitte &amp; Touche LLP required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applicable requirements of the PCAOB.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Based on the Audit and Risk Committee’s review of the audited consolidated financial statements and the review and discussions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described in the preceding paragraph, the Audit and Risk Committee recommended to the Board that the audited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statements for the fiscal year ended December 31, 2025, be included in the Company’s Annual Report on Form 10-K.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Audit and Risk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Sachin Chand Jaitly (Chair)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James Anthony Esposito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Maria Filipakis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The above Audit and Risk Committee Report is not soliciting material, is not deemed filed with the SEC and is not incorporated by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reference in any of our filings under the Securities Act of 1933, as amended (the “Securities Act”), or the Exchange Act whether made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before or after the date of this proxy statement and irrespective of any general incorporation language in any such filings.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PRINCIPAL STOCKHOLDERS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table sets forth information regarding beneficial ownership of our Common Stock as of April 20, 2026: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each person, known by us to beneficially own more than 5% of the outstanding shares of our Class A Common Stock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Class B Common Stock;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each of our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each of our named executive officers (“NEOs”);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all of our current executive officers and directors as a group.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percentages of beneficial ownership set forth below are based on (i)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43,999,845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hares of Class A Common Stock issued and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outstanding and (ii) 75,126,784 shares of Class B Common Stock issued and outstanding.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amounts and percentages of shares beneficially owned are reported on the basis of SEC regulations governing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determination of beneficial ownership of securities. Under SEC rules, a person is deemed to be a “beneficial” owner of a security if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that person has or shares voting power or investment power over such security, which includes the power to dispose of or to direct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disposition of such security. Accordingly, more than one person may be deemed to be a beneficial owner of the same securities and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person may be deemed to be a beneficial owner of securities as to which such person has no economic interest. Unless otherwise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indicated in the footnotes to the following table, and subject to community property laws where applicable, each person or entity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included in the table below has sole voting and investment power with respect to the shares beneficially owned by them.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person is also deemed to be a beneficial owner of any securities of which that person has a right to acquire beneficial ownership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within 60 days. Securities that can be so acquired are deemed to be outstanding and to be beneficially owned by such person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purposes of computing the ownership and percentage ownership of such person, but are not deemed to be outstanding for purposes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computing the ownership or percentage ownership of any other person, except with respect to the ownership and percentage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ownership of all directors and executive officers as a group.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Unless otherwise indicated in the footnotes to the following table, the address of each of our directors, named executive officers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principal stockholders listed below is 600 Third Avenue, 2nd Floor, New York, NY 10016.</w:t>
      </w:r>
    </w:p>
    <w:tbl>
      <w:tblPr>
        <w:tblW w:w="981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01"/>
        <w:gridCol w:w="945"/>
        <w:gridCol w:w="975"/>
        <w:gridCol w:w="931"/>
        <w:gridCol w:w="1156"/>
        <w:gridCol w:w="1006"/>
      </w:tblGrid>
      <w:tr>
        <w:trPr/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0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Class A Common Stock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208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Class B Common Stock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06" w:type="dxa"/>
            <w:vMerge w:val="restart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of 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Voting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Power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0"/>
              </w:rPr>
              <w:t>(2)</w:t>
            </w:r>
          </w:p>
        </w:tc>
      </w:tr>
      <w:tr>
        <w:trPr/>
        <w:tc>
          <w:tcPr>
            <w:tcW w:w="480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Name of Beneficial Owner</w:t>
            </w:r>
          </w:p>
        </w:tc>
        <w:tc>
          <w:tcPr>
            <w:tcW w:w="94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Shares</w:t>
            </w: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of Class 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Shares</w:t>
            </w:r>
          </w:p>
        </w:tc>
        <w:tc>
          <w:tcPr>
            <w:tcW w:w="11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Percentage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Class</w:t>
            </w:r>
          </w:p>
        </w:tc>
        <w:tc>
          <w:tcPr>
            <w:tcW w:w="1006" w:type="dxa"/>
            <w:vMerge w:val="continue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801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Greater than 5% Holders</w:t>
            </w:r>
          </w:p>
        </w:tc>
        <w:tc>
          <w:tcPr>
            <w:tcW w:w="945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Winklevoss Capital, Fund, LLC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9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75,126,784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100.0%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94.5%</w:t>
            </w:r>
          </w:p>
        </w:tc>
      </w:tr>
      <w:tr>
        <w:trPr/>
        <w:tc>
          <w:tcPr>
            <w:tcW w:w="4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Entities affiliated with Morgan Creek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9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2,649,999</w:t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6.0%</w:t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Named Executive Officers and Directors</w:t>
            </w:r>
          </w:p>
        </w:tc>
        <w:tc>
          <w:tcPr>
            <w:tcW w:w="9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Tyler Winklevoss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(5)</w:t>
            </w:r>
          </w:p>
        </w:tc>
        <w:tc>
          <w:tcPr>
            <w:tcW w:w="9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75,126,784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100.0%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94.5%</w:t>
            </w:r>
          </w:p>
        </w:tc>
      </w:tr>
      <w:tr>
        <w:trPr/>
        <w:tc>
          <w:tcPr>
            <w:tcW w:w="4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Cameron Winklevoss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(5)</w:t>
            </w:r>
          </w:p>
        </w:tc>
        <w:tc>
          <w:tcPr>
            <w:tcW w:w="9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75,126,784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100.0%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94.5%</w:t>
            </w:r>
          </w:p>
        </w:tc>
      </w:tr>
      <w:tr>
        <w:trPr/>
        <w:tc>
          <w:tcPr>
            <w:tcW w:w="4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Dan Chen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(6)</w:t>
            </w:r>
          </w:p>
        </w:tc>
        <w:tc>
          <w:tcPr>
            <w:tcW w:w="9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Marshall Beard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(7)</w:t>
            </w:r>
          </w:p>
        </w:tc>
        <w:tc>
          <w:tcPr>
            <w:tcW w:w="9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533,757</w:t>
            </w:r>
          </w:p>
        </w:tc>
        <w:tc>
          <w:tcPr>
            <w:tcW w:w="9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1.2%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Tyler Meade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(8)</w:t>
            </w:r>
          </w:p>
        </w:tc>
        <w:tc>
          <w:tcPr>
            <w:tcW w:w="9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334,349</w:t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*</w:t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Sachin Jaitly</w:t>
            </w:r>
          </w:p>
        </w:tc>
        <w:tc>
          <w:tcPr>
            <w:tcW w:w="9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Jonathan Durham</w:t>
            </w:r>
          </w:p>
        </w:tc>
        <w:tc>
          <w:tcPr>
            <w:tcW w:w="9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71,123</w:t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</w:t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James Anthony Esposito</w:t>
            </w:r>
          </w:p>
        </w:tc>
        <w:tc>
          <w:tcPr>
            <w:tcW w:w="9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Maria Filipakis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(9)</w:t>
            </w:r>
          </w:p>
        </w:tc>
        <w:tc>
          <w:tcPr>
            <w:tcW w:w="94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8,910</w:t>
            </w:r>
          </w:p>
        </w:tc>
        <w:tc>
          <w:tcPr>
            <w:tcW w:w="97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</w:t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All executive officers and directors as a group (7 individuals) </w:t>
            </w:r>
          </w:p>
        </w:tc>
        <w:tc>
          <w:tcPr>
            <w:tcW w:w="94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108,689</w:t>
            </w:r>
          </w:p>
        </w:tc>
        <w:tc>
          <w:tcPr>
            <w:tcW w:w="97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*</w:t>
            </w:r>
          </w:p>
        </w:tc>
        <w:tc>
          <w:tcPr>
            <w:tcW w:w="9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75,126,784</w:t>
            </w:r>
          </w:p>
        </w:tc>
        <w:tc>
          <w:tcPr>
            <w:tcW w:w="11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100.0%</w:t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94.5%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*    Less than one percent.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18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(1) Each holder of Class B common stock is entitled to ten votes per share and each holder of Class A common stock is entitled to one vote per share on all matters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submitted to Company stockholders for a vote.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(2) Percentage of voting power represents voting power with respect to all shares of our Class A common stock and Class B common stock voting together as a single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class (subject to class-specific weightings).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(3) Messrs. Tyler and Cameron Winklevoss are the Co-Founders and Principals of Winklevoss Capital Fund, LLC (“WCF”), as well as the Managers of the managing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entity of WCF and exercise shared voting and dispositive control over the shares held by WCF. The principal business address of WCF is Farmers Bank Building, 301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N. Market Street, Suite 1463, Wilmington, Delaware 19801.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(4) Based on a Schedule 13G filed with the SEC on September 22, 2025, by (i) Morgan Creek Private Opportunities, LLC Series M—Gemini, (ii) Morgan Creek Digital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Fund III, LP and (iii) Mark W. Yusko, which sets forth their beneficial ownership as of September 15, 2025. According to the Schedule 13G, such beneficial ownership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consists of 2,185,719 shares of Class A common stock owned by Morgan Creek Private Opportunities, LLC Series M—Gemini and 464,280 shares of Class A common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stock owned by Morgan Creek Digital Fund III, LP. Mark Yusko is the Manager of MCCM Group LLC, which is the Manager of Morgan Creek Capital Management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LLC, which is the sole member in Morgan Creek Capital Partners, LLC, which is the Managing Member of Morgan Creek Private Opportunities, LLC Series M—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Gemini. Mr. Yusko is also the Manager of Morgan Creek Digital, LLC, which is the General Partner of Morgan Creek Digital Fund III LP. The address of the foregoing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entities is 301 W. Barbee Chapel Road, Suite 200, Chapel Hill, NC 27517. Mr. Yusko disclaims beneficial ownership of the shares held by the foregoing entities, except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to the extent of his pecuniary interest in such shares.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(5) Consists of the shares described in footnote 3 above. Messrs. Tyler and Cameron Winklevoss, our Chief Executive Officer and President, respectively, and members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of our board of directors, are the Managers of the managing entity of WCF, and as such may be deemed to have voting and dispositive power with respect to such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shares. The principal business address of WCF is Farmers Bank Building, 301 N. Market Street, Suite 1463, Wilmington, Delaware 19801.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(6) On February 17, 2026, the Company announced the departure of Mr. Chen, effective as of such date. Information regarding the shares beneficially owned by Mr.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Chen is based on information known to the Company as of the date of separation.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(7) On February 17, 2026, the Company announced the departure of Mr. Beard, effective as of such date. Information regarding the shares beneficially owned by Mr.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Beard is based on information known to the Company as of the date of separation.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(8) On February 17, 2026, the Company announced the departure of Mr. Meade, effective as of such date. Information regarding the shares beneficially owned by Mr.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Meade is based on information known to the Company as of the date of separation.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(9) Includes 3,843 shares of restricted Class A common stock.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Delinquent Section 16(a) Reports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Section 16(a) of the Exchange Act requires the Company’s directors, executive officers and beneficial owners of more than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10% of our common stock to file reports of ownership of our common stock with the SEC. Based solely on our review of such reports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filed with the SEC and on representations received from our directors and executive officers, we believe that all of our directors,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 officers and beneficial owners of more than 10% of our common stock timely complied with all Section 16(a) filing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requirements applicable to them with respect to transactions in 2025, except for the following due to administrative oversights: one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Form 4 filed late on behalf of Cameron Winklevoss relating to a grant of stock options, one Form 4 filed late on behalf of each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Marshall Beard and Tyler Meade relating to a withholding of shares to satisfy tax withholding obligations upon the vesting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restricted stock units, and one Form 4 filed late on behalf of Danijela Stojanovic relating to a grant of restricted stock units.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INFORMATION ABOUT OUR EXECUTIVE OFFICERS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table provides information regarding our current executive officers:</w:t>
      </w:r>
    </w:p>
    <w:tbl>
      <w:tblPr>
        <w:tblW w:w="70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61"/>
        <w:gridCol w:w="109"/>
        <w:gridCol w:w="109"/>
        <w:gridCol w:w="436"/>
        <w:gridCol w:w="109"/>
        <w:gridCol w:w="109"/>
        <w:gridCol w:w="4141"/>
        <w:gridCol w:w="154"/>
      </w:tblGrid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Name</w:t>
            </w:r>
          </w:p>
        </w:tc>
        <w:tc>
          <w:tcPr>
            <w:tcW w:w="109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Age</w:t>
            </w:r>
          </w:p>
        </w:tc>
        <w:tc>
          <w:tcPr>
            <w:tcW w:w="109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Position</w:t>
            </w:r>
          </w:p>
        </w:tc>
        <w:tc>
          <w:tcPr>
            <w:tcW w:w="154" w:type="dxa"/>
            <w:tcBorders>
              <w:bottom w:val="single" w:sz="6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Tyler Winklevoss</w:t>
            </w:r>
          </w:p>
        </w:tc>
        <w:tc>
          <w:tcPr>
            <w:tcW w:w="109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44</w:t>
            </w:r>
          </w:p>
        </w:tc>
        <w:tc>
          <w:tcPr>
            <w:tcW w:w="109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Co-Founder, Chief Executive Officer and Director</w:t>
            </w:r>
          </w:p>
        </w:tc>
        <w:tc>
          <w:tcPr>
            <w:tcW w:w="154" w:type="dxa"/>
            <w:tcBorders>
              <w:top w:val="single" w:sz="6" w:space="0" w:color="FFFF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Cameron Winklevoss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44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Co-Founder, President and Director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Danijela Stojanovic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44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Interim Chief Financial Officer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Biographical information for each of our current executive officers is set forth below, other than Tyler Winklevoss, Co-Founder,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Chief Executive Officer, and Cameron Winklevoss, Co-Founder and President, whose biographical information is set forth under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Proposal 1 – Election of Directors.”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Danijela Stojanovic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  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Stojanovic has served as the Company’s Interim Chief Financial Officer since February 2026. Ms.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Stojanovic previously served as the Company’s Chief Accounting Officer from May 2025 until February 2026. Prior to joining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Company, Ms. Stojanovic served in senior finance and accounting leadership roles at Blue Apron Holdings, Inc. from 2015 to 2024,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most recently as Senior Vice President, Finance and Accounting. During her tenure she led SEC reporting, technical accounting,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 compensation, and implementation of internal control frameworks. She supported Blue Apron’s initial public offering in 2017,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ongoing public company reporting and governance processes, and strategic transactions, including the company’s sale in November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2023. Earlier in her career, Ms. Stojanovic was a manager at PricewaterhouseCoopers in New York where she led audit engagements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public and private companies in accordance with PCAOB standards. She began her career with PricewaterhouseCoopers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Sweden. Ms. Stojanovic is a Certified Public Accountant licensed in the State of New York.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an emerging growth company as defined in the JOBS Act, we are not required to include a Compensation Discussion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Analysis section and have elected to comply with the scaled disclosure requirements applicable to emerging growth companies.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named executive officers, or “NEOs,” for the fiscal year ended December 31, 2025, which consist of the individuals who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served as our “principal executive officers” during the fiscal year ended December 31, 2025, and our two other most highly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compensated executive officers who were serving as executive officers during the fiscal year ended December 31, 2025, are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follows: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Tyler Winklevoss, Chief Executive Officer &amp; Co-Founder;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Cameron Winklevoss, President &amp; Co-Founder;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Dan Chen, Former Chief Financial Officer;*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Marshall Beard, Former Chief Operating Officer;*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Tyler Meade, Former Chief Legal Officer.*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*As previously disclosed in a Current Report on Form 8-K filed with the Securities and Exchange Commission on February 17,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2026, following the end of fiscal year 2025, the Company parted ways with each of Dan Chen, Marshall Beard and Tyler Meade,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effective February 17, 2026. Mr. Beard also resigned from the Board effective as of February 17, 2026,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which was not the result of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any disagreement between Mr. Beard and the Company on any matter relating to the Company’s operations, policies, or practices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Immediately following the acceptance of Mr. Beard’s resignation, the Board unanimously appointed Danijela Stojanovic to serve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Interim Chief Financial Officer and Kate Freedman to serve as our Interim General Counsel, each effective as of February 17,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2026. The Company did not, and does not intend to, appoint a successor Chief Operating Officer. Instead, many of the duties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previously performed by Mr. Beard, including revenue-generating responsibilities, were assumed by Mr. Cameron Winklevoss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addition to his existing responsibilities.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Summary Compensation Table for 2025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table provides information regarding the compensation earned by our NEOs for the year ended December 31, 2025.</w:t>
      </w:r>
    </w:p>
    <w:tbl>
      <w:tblPr>
        <w:tblW w:w="998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06"/>
        <w:gridCol w:w="466"/>
        <w:gridCol w:w="826"/>
        <w:gridCol w:w="781"/>
        <w:gridCol w:w="1216"/>
        <w:gridCol w:w="1306"/>
        <w:gridCol w:w="1261"/>
        <w:gridCol w:w="1261"/>
        <w:gridCol w:w="961"/>
      </w:tblGrid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Name &amp; Principal Position</w:t>
            </w:r>
          </w:p>
        </w:tc>
        <w:tc>
          <w:tcPr>
            <w:tcW w:w="46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Year</w:t>
            </w:r>
          </w:p>
        </w:tc>
        <w:tc>
          <w:tcPr>
            <w:tcW w:w="82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Salary ($)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9"/>
              </w:rPr>
              <w:t>(1)</w:t>
            </w:r>
          </w:p>
        </w:tc>
        <w:tc>
          <w:tcPr>
            <w:tcW w:w="78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Bonus ($)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9"/>
              </w:rPr>
              <w:t>(2)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Stock Awards ($)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130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Option Awards ($)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126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Non-Equity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Incentive Plan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Compensation ($)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9"/>
              </w:rPr>
              <w:t>(4)</w:t>
            </w:r>
          </w:p>
        </w:tc>
        <w:tc>
          <w:tcPr>
            <w:tcW w:w="126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All Other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Compensation ($)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9"/>
              </w:rPr>
              <w:t>(5)</w:t>
            </w:r>
          </w:p>
        </w:tc>
        <w:tc>
          <w:tcPr>
            <w:tcW w:w="96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 ($)</w:t>
            </w:r>
          </w:p>
        </w:tc>
      </w:tr>
      <w:tr>
        <w:trPr/>
        <w:tc>
          <w:tcPr>
            <w:tcW w:w="1906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Tyler Winklevoss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Chief Executive Officer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...</w:t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2025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62,421,313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2,285,854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64,707,168</w:t>
            </w:r>
          </w:p>
        </w:tc>
      </w:tr>
      <w:tr>
        <w:trPr/>
        <w:tc>
          <w:tcPr>
            <w:tcW w:w="1906" w:type="dxa"/>
            <w:vMerge w:val="continue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2024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500,000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1,931,924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2,431,924</w:t>
            </w:r>
          </w:p>
        </w:tc>
      </w:tr>
      <w:tr>
        <w:trPr/>
        <w:tc>
          <w:tcPr>
            <w:tcW w:w="1906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Cameron Winklevoss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President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.....................</w:t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2025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62,421,313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2,285,854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64,707,168</w:t>
            </w:r>
          </w:p>
        </w:tc>
      </w:tr>
      <w:tr>
        <w:trPr/>
        <w:tc>
          <w:tcPr>
            <w:tcW w:w="1906" w:type="dxa"/>
            <w:vMerge w:val="continue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2024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500,000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1,931,924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2,431,924</w:t>
            </w:r>
          </w:p>
        </w:tc>
      </w:tr>
      <w:tr>
        <w:trPr/>
        <w:tc>
          <w:tcPr>
            <w:tcW w:w="1906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Dan Chen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(7)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Chief Financial Officer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...</w:t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2025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512,917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130,000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14,999,992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7,000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15,519,909</w:t>
            </w:r>
          </w:p>
        </w:tc>
      </w:tr>
      <w:tr>
        <w:trPr/>
        <w:tc>
          <w:tcPr>
            <w:tcW w:w="1906" w:type="dxa"/>
            <w:vMerge w:val="continue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2024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06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Marshall Beard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Chief Operating Officer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</w:t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2025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1,291,600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34,342,212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4,901,783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16,121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40,551,716</w:t>
            </w:r>
          </w:p>
        </w:tc>
      </w:tr>
      <w:tr>
        <w:trPr/>
        <w:tc>
          <w:tcPr>
            <w:tcW w:w="1906" w:type="dxa"/>
            <w:vMerge w:val="continue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2024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803,661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250,000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150,000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13,800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953,661</w:t>
            </w:r>
          </w:p>
        </w:tc>
      </w:tr>
      <w:tr>
        <w:trPr/>
        <w:tc>
          <w:tcPr>
            <w:tcW w:w="1906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Tyler Meade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Chief Legal Officer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........</w:t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2025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974,000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24,906,920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3,921,416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14,000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29,816,336</w:t>
            </w:r>
          </w:p>
        </w:tc>
      </w:tr>
      <w:tr>
        <w:trPr/>
        <w:tc>
          <w:tcPr>
            <w:tcW w:w="1906" w:type="dxa"/>
            <w:vMerge w:val="continue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2024</w:t>
            </w:r>
          </w:p>
        </w:tc>
        <w:tc>
          <w:tcPr>
            <w:tcW w:w="82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960,000</w:t>
            </w:r>
          </w:p>
        </w:tc>
        <w:tc>
          <w:tcPr>
            <w:tcW w:w="78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316,000</w:t>
            </w:r>
          </w:p>
        </w:tc>
        <w:tc>
          <w:tcPr>
            <w:tcW w:w="1306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1,276,000</w:t>
            </w:r>
          </w:p>
        </w:tc>
      </w:tr>
    </w:tbl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(1)Amounts shown in this column reflect the annual base salary earned by the NEO in respect of the applicable year. Mr. Chen was paid at the following rates during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fiscal year 2025: (a) $600,000 per annum from his start date on March 17, 2025 through September 14, 2025; and (b) $730,000 per annum from the completion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our IPO on September 15, 2025 through December 31, 2025. Mr. Beard was paid at the following rates during fiscal year 2025: (a) $1,272,500 per annum from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January 1, 2025 through July 1, 2025; and (b) $1,310,700 per annum from July 1, 2025 through December 31, 2025. Mr. Meade was paid at the following rates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during fiscal year 2025: (a) $960,000 per annum from January 1, 2025 through July 1, 2025; and (b) $988,000 per annum from July 1, 2025 through December 31,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2025.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(2)For fiscal year 2025, the amount in this column represents a one-time bonus payment of $130,000 for Mr. Chen upon successful completion of our IPO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September 15, 2025, pursuant to his employment agreement with us, as well as a one-time bonus payment of $250,000 to Mr. Beard in January 2025 in respect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the fiscal year 2024 and in January 2024 in respect of the fiscal year 2023.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(3)The amounts in these columns represent the grant date fair value of the stock awards and stock options granted to our named executive officers during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applicable year, as computed in accordance with FASB ASC 718. These amounts reflect the accounting cost for these stock awards and stock options and do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represent the actual economic value that may be realized by the named executive officer from the stock award or the stock option. For information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assumptions used to calculate the grant date fair value of the stock awards, refer to Note 2 to our condensed consolidated financial statements included in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21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Annual Report on Form 10-K for the year ended December 31, 2025—“Stock-based Compensation—Valuation of Awards.” For each of Messrs. Beard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Meade, this amount includes the grant date fair value of PIUs granted in 2025 and in 2024 that were exchanged for restricted stock awards granted outside of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Equity Plan upon completion of our IPO on September 15, 2025. See “</w:t>
      </w:r>
      <w:r>
        <w:rPr>
          <w:strike w:val="false"/>
          <w:dstrike w:val="false"/>
          <w:u w:val="none"/>
          <w:effect w:val="none"/>
        </w:rPr>
        <w:t>—</w:t>
      </w:r>
      <w:r>
        <w:rPr>
          <w:rFonts w:ascii="Times New Roman;serif" w:hAnsi="Times New Roman;serif"/>
          <w:b w:val="false"/>
          <w:i/>
          <w:strike w:val="false"/>
          <w:dstrike w:val="false"/>
          <w:sz w:val="16"/>
          <w:u w:val="none"/>
          <w:effect w:val="none"/>
        </w:rPr>
        <w:t>Equity-based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below. The exchange of such PIUs for restricted stock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awards had an incremental compensation cost of $0 under FASB ASC 718.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(4)Represents the amount of discretionary cash bonuses awarded for the applicable year based on achievement of performance criteria established by the Company 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the beginning of the fiscal year. None of our named executive officers received such bonus payments in respect of the fiscal year 2025. See "-</w:t>
      </w:r>
      <w:r>
        <w:rPr>
          <w:rFonts w:ascii="Times New Roman;serif" w:hAnsi="Times New Roman;serif"/>
          <w:b w:val="false"/>
          <w:i/>
          <w:strike w:val="false"/>
          <w:dstrike w:val="false"/>
          <w:sz w:val="16"/>
          <w:u w:val="none"/>
          <w:effect w:val="none"/>
        </w:rPr>
        <w:t>Short-term Incentive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16"/>
          <w:u w:val="none"/>
          <w:effect w:val="none"/>
        </w:rPr>
        <w:t>Compensation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" below.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(5)Amounts in this column reflect (a) for all NEOs, Company contributions to the 401(k) Plan (as defined below) made on behalf of our NEOs for 2025,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applicable, and (b) for each of Cameron and Tyler Winklevoss,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$2,490,844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cost per individual for the provision of personal security services, as described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more detail below.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(6)Because Mr. Chen was not employed by us at any time during fiscal year 2024, he has no historical compensation to disclose for that 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Narrative to Summary Compensation Table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Employment and Separation Agreements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connection with our IPO, we entered into new employment agreements with each of our named executive officers at such time,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each effective as of August 14, 2025. The employment agreements set forth the terms and conditions of employment, including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payment of annual base salary, subject to annual review. The employment agreements also contain restrictive covenants relating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confidential information, non-solicitation and non-competition. Additionally, the employment agreements have no specific term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provide for at-will employment.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August 14, 2025 employment agreement with Mr. Beard superseded Mr. Beard’s prior employment agreements with Gemini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LLC, dated January 1, 2025, and Gemini Trust, dated January 18, 2018, and November 1, 2024. Mr. Beard’s employment agreement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provided for an annual base salary of $1,272,500 and a target bonus of 20% of his base salary. Notwithstanding this employment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agreement, Mr. Beard's annual base salary was increased to $1,310,700 on July 1, 2025, and he was paid at this rate from July 1, 2025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through December 31, 2025.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August 14, 2025 employment agreement with Mr. Meade superseded Mr. Meade’s employment agreement with Gemini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LLC, dated December 1, 2024, Mr. Meade’s consulting agreement with Gemini LLC, dated December 27, 2023, and Mr. Meade’s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consulting agreement with Gemini Trust, dated July 6, 2023. Mr. Meade’s employment agreement provided for an annual base salary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$960,000 and a target bonus of 20% of his base salary. Notwithstanding this employment agreement, Mr. Meade's annual base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salary was increased to $988,000 on July 1, 2025, and he was paid at this rate from July 1, 2025 through December 31, 2025.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August 14, 2025 employment agreement with Mr. Chen superseded Mr. Chen’s prior employment agreement with Gemini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LLC, dated March 17, 2025. Mr. Chen’s employment agreement provided for an initial annual base salary of $600,000 and a target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bonus of 20% of his base salary. Additionally, upon completion of our IPO on September 15, 2025, Mr. Chen received a one-time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bonus of $130,000 and his annual base salary increased to $730,000 under the employment agreement. Further, pursuant to Mr.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Chen’s prior employment agreement dated March 17, 2025, upon completion of our IPO, Mr. Chen received a grant of 535,714 RSUs,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determined by dividing $15,000,000 by the IPO price and rounding down to the nearest whole share, based on an IPO price of $28.00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 share of Class A common stock.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As previously announced, on February 17, 2026, the Company parted ways with Messrs. Beard, Meade, and Chen. On March 29,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2026, in respect of the terminations by the Company which were not for "cause" nor resignations for "good reason" (as such terms are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defined in the Company's Senior Executive Severance Plan and Executive Severance Plan), the Company entered into separation and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release agreements with each of Messrs. Beard, Meade, and Chen, which waive any rights under the applicable  employment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agreements, the Senior Executive Severance Plan and the Executive Severance Plan and provide for continued base salary and vesting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of time-based equity awards for three months with respect to Messrs. Beard and Meade and for one month for Mr. Chen.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August 14, 2025 employment agreements with each of Messrs. Cameron and Tyler Winklevoss supersede their prior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employment agreements with Gemini LLC, each dated November 19, 2021. Each of the employment agreements provides for a base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salary of $1 and eligibility to receive a discretionary annual cash bonus. The employment agreements additionally provide that Gemini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will provide personal security services for each of them and their families. The employment agreements for each of Messrs. Cameron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Tyler Winklevoss provides eligibility to participate in the Gemini Space Station Senior Executive Severance Plan (the “Senior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 Severance Plan”).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Pursuant to the Senior Executive Severance Plan, in the event that a participating executive officer is terminated without “cause”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or resigns for “good reason” in either case, within three months before or 12 months following a “change of control” of the company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(as such terms are defined in the Senior Executive Severance Plan), such executive will be eligible to receive: (i) an amount equal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sum of (A) one times the executive’s annual base salary at the rate in effect immediately prior to such termination and (B) one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times the executive’s then-current target bonus, payable in substantially equal monthly installments over a period of 12 months; (ii)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22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accelerated vesting of 50% of any time- and performance-based equity awards at the greater of target or actual performance; and (iii)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 amount in cash each equal to the excess of (x) the COBRA premium for such executive over (y) the employee portion of the cost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continued participation for such executive in the Company’s group health, medical, dental, and vision programs or policies in which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such executive participated as of the termination date on the same basis as active employees for such month, which coverage shall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become secondary to any coverage provided to such executive by a subsequent employer and to any Medicare coverage for which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such executive becomes eligible (the “Healthcare Continuation Benefit”) for a period of 12 months. Additionally, in the event that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participating executive officer is terminated without “cause” or resigns for “good reason” outside of the period three months before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12 months after a “change of control” (as such terms are defined in the Senior Executive Severance Plan), such executive will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eligible to receive: (i) an amount equal to the sum of 0.75 times the executive’s base salary at the rate in effect immediately prior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termination and the executive’s target bonus, payable in substantially equal monthly installments over a period of nine months; (ii)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immediate vesting of all time-based equity awards that would have become vested had the executive remained employed with 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through the end of nine months, and, if applicable, pro rata vesting of all performance-based equity awards based on achievement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performance criteria at the end of the nine-month period; and (iii) the Healthcare Continuation Benefit for a period of nine months.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All severance payments and benefits provided under the Senior Executive Severance Plan are subject to each participating executive’s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execution of a general release of claims against us.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Base Salary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Each named executive officer’s base salary is a fixed component of annual compensation for performing specific job duties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functions. The annual rate of base salary for each named executive officer was established at levels commensurate with historical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compensation, with any adjustments deemed necessary to attract and retain individuals with superior talent appropriate relative to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expertise and experience.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Each of Messrs. Cameron and Tyler Winklevoss received an annual base salary of $1 in 2025. Mr. Beard’s annual base salary rate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fiscal year 2025 was (a) $1,272,500 per annum from January 1, 2025 through July 1, 2025 and (b) $1,310,700 per annum from July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1, 2025 through December 31, 2025. The annual base salary for Mr. Meade in fiscal year 2025 was (a) $960,000 per annum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January 1, 2025 through July 1, 2025 and (b) $988,000 per annum from July 1, 2025 through December 31, 2025. Effective March 17,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2025, the annual base salary for Mr. Chen was $600,000, which increased to $730,000 upon the completion of our IPO on September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15, 2025.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As previously announced, on February 17, 2026, the Company parted ways with each of Messrs. Beard, Meade, and Chen.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Compensation Committee of our Board annually assesses base salary levels for our NEOs, taking into account base salary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levels for positions with similar roles and scope of responsibilities within our peer group, as well as personal performance.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Short-term incentive compensation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Both prior to our IPO and following its completion, we have used cash incentive awards to motivate and reward our named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 officers. We do not maintain a formal annual cash incentive award plan; instead, whether such awards are granted has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historically been determined annually on a discretionary basis, based on the employee’s performance and our attainment of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or other subjective or objective criteria determined by our Board, and, following our IPO, by the Compensation Committee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Board. Prior to our IPO, Messrs. Cameron Winklevoss and Tyler Winklevoss were eligible to receive a target bonus of 25% of base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salary. For each of Messrs. Cameron and Tyler Winklevoss, the amount of their annual cash bonuses, if any, will be determined 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the achievement of performance criteria established with respect to the applicable fiscal year. The target bonus opportunity for 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Messrs. Beard, Meade, and Chen was 20% of base salary during fiscal year 2025 under their respective employment agreements.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Compensation Committee of our Board did not establish any specific performance criteria or approve the payment or pay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annual cash bonus to any of our named executive officers in respect of fiscal year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Equity-based compensation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all periods prior to our IPO, we have not maintained a formal equity compensation program but have historically used long-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term equity incentive awards consisting of PIUs. Gemini Astronaut Corps, LLC, a limited liability company (“Astronaut”) was formed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the sole purpose of holding a common unit or a catch up common unit of Gemini LLC. Each PIU awarded to a recipient directly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corresponded to a common unit or catch up common unit of Gemini LLC that was held by Astronaut, such that recipients indirectly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received such units of Gemini LLC as awards. The PIUs of Astronaut and the corresponding units of Gemini LLC were considered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profits interests of Astronaut and Gemini LLC, respectively. Gemini LLC and certain subsidiaries also issued phantom units to certain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employees, with the issuing subsidiary depending on the employee’s location. The vested phantom units generally entitled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recipients to receive equivalent cash payment when and if payments were made to corresponding PIUs or upon the recipient’s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termination of service with Gemini LLC.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23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PIUs vested solely according to service-based conditions. In the past, the service-based vesting condition was typically met over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four-year period, with 25% vesting on the first anniversary of the vesting commencement date and the remaining 75% vesting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consecutive monthly installments over the remaining three-year period. The service-based vesting condition for the most recent PIU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grant in January 2025 was met with monthly vesting over two years. Gemini LLC also previously awarded PIUs that were fully vested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at grant. The phantom unit awards typically vested in a similar manner to the service-based PIUs.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January 24, 2025, Messrs. Beard and Meade each received awards of 2,836,748 PIUs and 2,131,849 OIUs, respectively.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service-based vesting condition for each of these grants was met with monthly vesting over two years. None of our other named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 officers received PIUs in 2025.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part of a series of restructuring transactions in connection with our IPO, the vested PIUs held by Messrs. Beard and Meade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were canceled and retired and exchanged for shares of our Class A common stock, and their unvested PIUs were canceled and retired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exchanged for restricted shares of our Class A common stock (the “Restricted Shares”). The Restricted Shares were granted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outside of our Equity Plan. Under the release and separation agreements for each of Messrs. Beard and Meade, dated March 29, 2026,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each received three months of accelerated vesting of his Restricted Share awards as of the date his employment terminated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February 17, 2026, and the remaining unvested Restricted Shares were forfeited.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Further, following the adoption of the Equity Plan, we granted to each of Messrs. Beard and Meade RSUs under the Equity Plan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sufficient to result in them holding 1.35% and 1%, respectively, of our common stock on a fully diluted basis, as of immediately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following the closing of the IPO, without giving effect to any exercise by the underwriters of their option to purchase additional shares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IPO, resulting in 903,971 and 637,022 additional RSUs being granted to Messrs. Beard and Meade, respectively, based on 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IPO price of $28.00 per share of Class A common stock. These RSUs were subject to monthly vesting, subject to the ongoing service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the applicable executive, which mirrored the PIU vesting in respect of the PIUs that were granted on January 24, 2025.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Accordingly, 263,658 and 185,798 of the RSUs granted to Messrs. Beard and Meade, respectively, were settled in shares immediately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upon the closing of our IPO on September 15, 2025. Under the release and separation agreements for each of Messrs. Beard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Meade, dated March 29, 2026, each received three months of accelerated vesting of these RSUs as of the date of his employment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termination on February 17, 2026, and the remaining unvested RSUs were forfeited. Additionally, in connection with our IPO,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granted under the Equity Plan bonus RSUs to Messrs. Beard and Meade with respective values of $254,500 and $111,000, with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number of RSUs subject to each grant determined by dividing the value of the applicable award by the IPO price and rounding down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the nearest whole share, resulting in 9,089 and 3,964 bonus RSUs being granted to Messrs. Beard and Meade, respectively, 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an IPO price of $28.00 per share of Class A common stock. These RSUs vested in full upon the closing of the IPO on September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15, 2025 and were settled in shares of our Class A common stock on March 11, 2026, following the expiration of the IPO lock-up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period.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Moreover, in connection with our IPO, Mr. Beard received under the Equity Plan a time-based RSU award and a time-based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option award each equal to $7,500,000 ($15,000,000 in total), and Mr. Meade received under the Equity Plan a time-based RSU award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a time-based option award each equal to $6,000,000 ($12,000,000 in total), each calculated by dividing the grant’s respective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value by the IPO price and rounding down to the nearest whole share, resulting in a time-based RSU award of 267,857 shares of Class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common stock and a time-based option award of 267,857 shares of Class A common stock being granted to Mr. Beard, and a time-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based RSU award of 214,285 shares of Class A common stock and a time-based option award of 214,285 shares of Class A common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 being granted to Mr. Meade, in each case based on an IPO price of $28.00 per share of Class A common stock. The time-based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RSU awards and time-based option awards granted to Messrs. Beard and Meade were subject to time-based vesting over four years,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a one-year cliff and the remaining portion vesting in substantially equal quarterly installments, subject to the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executive’s continued service with us through the applicable vesting date. Under the release and separation agreements entered into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each of Messrs. Beard and Meade, dated March 29, 2026, each received three months of accelerated vesting of his RSU award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time-based option award as of the date of his employment termination on February 17, 2026, and the remaining unvested portions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these awards were forfeited. Since the time-based option award and time-based RSU award were subject to a one-year cliff,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entire awards were forfeited in connection with Messrs. Beard and Meade's departures from the Company on February 17, 2026.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connection with our IPO, we granted RSUs under the Equity Plan  to Mr. Chen  with an aggregate value equal to $15,000,000,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the number of RSUs subject to such grant determined by dividing the value of the applicable award by the IPO price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rounding down to the nearest whole share, resulting in 535,714 RSUs being granted to Mr. Chen based on an IPO price of $28.00 per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 of Class A common stock. These RSUs were subject to time-based vesting over six years with a one-year cliff and the remaining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portion vesting in substantially equal quarterly installments, subject to Mr. Chen's continuing service with us through the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vesting date. In connection with the release and separation agreement entered into with Mr. Chen, dated March 29, 2026, Mr. Chen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received one month of accelerated vesting of his applicable equity awards as of the date of his employment termination on February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17, 2026. Since this RSU award was subject to a one-year cliff, this entire award was forfeited in connection with Mr. Chen's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departure from the Company on February 17, 2026.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24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Also in connection with our IPO, Messrs. Cameron and Tyler Winklevoss were each granted a performance-based option award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the Equity Plan equal to 2.5% of our common stock on a fully diluted basis (5% in total) as of immediately following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closing of our IPO, without giving effect to any exercise by the underwriters of their option to purchase additional shares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offering, resulting in a performance-based option award being granted to each of Messrs. Cameron and Tyler Winklevoss equal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3,182,731 shares of our Class A common stock, based on an IPO price of $28.00 per share of Class A common stock. The terms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performance-based option awards, including the termination protection provisions described below, were determined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Compensation Committee of the Board in consultation with the Company’s compensation consultant, Exequity.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performance-based option awards granted to Messrs. Cameron Winklevoss and Tyler Winklevoss have an exercise price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equal to the IPO price and are subject to the satisfaction of performance-based and service-based vesting conditions. 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performance-based option award is subject to the following stock price hurdles, measured based on a 90-day trailing volume-weighted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average trading price: 25% on the achievement of 2x the IPO price; 25% on the achievement of 3x the IPO price;  25% on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achievement of 4x the IPO price; 25% on the achievement of 5x the IPO price. In addition, each performance-based option award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subject to service-based vesting conditions that are satisfied by continuous service of the applicable executive with us as follows: (i)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50% service-vest upon service through August 15, 2028 and (ii) 50% service-vest upon service through August 15, 2030.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Pursuant to the award agreement evidencing the performance-based option award for each of  Messrs. Cameron and Tyler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Winklevoss, in the event Messrs. Cameron or  Tyler Winklevoss are terminated without “cause” or resigns for “good reason” outside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the period three months before or 12 months after a “change of control” (as such terms are defined in the Senior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Severance Plan), (i) all service-based vesting conditions will be waived such that any shares of Class A common stock subject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award for which the applicable stock price hurdles have been achieved will become immediately vested and exercisable, and (ii)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shares of Class A common stock subject to the award for which the applicable stock price hurdles have not yet been achieved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remain outstanding and eligible to vest during the six-month period following the date of the termination of service and shall vest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extent such stock price hurdles are achieved during such six-month period. If such termination occurs after Messrs. Cameron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Tyler Winklevoss, as applicable, no longer holds shares of Class B common stock of the Company, the shares underlying the award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will vest based on the 90-day trailing volume-weighted average trading price per share of Class A common stock as of the date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termination, pro-rata based on the period of service performed during the total five-year service period until the termination date,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performance deemed achieved based on linear interpolation.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Further, upon a change in control (as defined in the Company’s Senior Executive Severance Plan), subject to the continuous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 of Messrs. Cameron or Tyler Winklevoss, as applicable, through the date of the change in control, any Class A common stock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shares subject to the award that have previously performance vested based on the achievement of an applicable stock price hurdle (in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addition to any shares of Class A common stock where the aggregate consideration payable to stockholders of the Company results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price per share that would satisfy an applicable stock price hurdle without regard to the 90-day trailing volume-weighted average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trading price) will immediately vest on the change in control. Moreover, upon a change in control, any vested portion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performance-based option award for each of  Messrs. Cameron and Tyler Winklevoss will, at the election of Messrs. Cameron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Tyler Winklevoss, as applicable, either be continued, assumed, substituted, or canceled in exchange for a cash payment equal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fair market value of the Class A common shares subject to the vested portion of the award less the exercise price, and any portion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award that remains unvested will automatically terminate as of the effective time of the change in control unless otherwise agreed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at such time.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Each long-term incentive award is subject to the terms and conditions approved by our Compensation Committee, based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consultation with Exequity and as set forth in the applicable award agreement with each executive.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Other elements of compensation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During fiscal year 2025, each named executive officer was entitled to vacation and paid time off in accordance with the terms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conditions of his employment agreement. Subject to the terms of any applicable plans, policies or programs, each named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officer was entitled to receive such employee benefits, including any and all medical, dental, vision, life and accidental death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disability, short-term and long-term disability, and voluntary life and disability benefits available to executives generally, and such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benefits as we may from time to time establish for the named executive officers. Each named executive officer was reimbursed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us for all ordinary and reasonable expenses incurred in the course of the performance of employment services subject to the terms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our reimbursement policy. We currently maintain a retirement plan intended to provide benefits under section 401(k) of Internal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 Code (the “Code”) (the “401(k) Plan”) in which employees, including our executive officers, are allowed to contribute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portions of their base compensation to a tax-qualified retirement account. As a tax-qualified retirement plan, contributions (if any)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made by us are deductible by us when made, and contributions and earnings on those amounts are generally not taxable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employees until withdrawn or distributed from the 401(k) Plan.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25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Additionally, Gemini provides continuous personal, travel, residential, and operational security for each of Messrs. Cameron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Tyler Winklevoss, integrating threat management strategies to safeguard their well-being. We do not pay the cost of any named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executive officer’s private air travel in connection with such security services. In 2025, the Company incurred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$5.0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 the provision of security services to Messrs. Cameron and Tyler Winklevoss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Determination of Compensation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Prior to our IPO in September 2025, our Board, comprised of a majority of independent directors and performing functions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equivalent to those of our Compensation Committee, engaged Exequity as the Company’s independent compensation consultant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advise on executive and director compensation matters. Following our IPO, Exequity reports solely to the Compensation Committee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our Board. Executive officers do not have a role in determining or recommending the amount or form of executive and director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compensation, except for Mr. Beard, who was initially a member of our Compensation Committee prior to his separation from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Company on February 17, 2026. Mr. Beard recused himself from any discussions determining or recommending the amount or form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his own compensation while he was a member of the Compensation Committee. Following Mr. Beard's separation from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Compensation Committee on February 17, 2026, our Compensation Committee is comprised exclusively of independent directors.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Clawback Policy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Upon completion of our IPO on September 15, 2025, the Company adopted the Gemini Space Station, Inc. Clawback Policy,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which applies to current and former executive officers of the Company and aligns with the requirements of the Dodd-Frank Wall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Street Reform and Consumer Protection Act and the corresponding Nasdaq listing standards. Additionally, under the Sarbanes-Oxley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Act of 2002, in the event of misconduct that results in a financial restatement that would have reduced a previously paid incentive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amount, the Company can recoup, or “claw back,” any bonus or other incentive-based or equity-based compensation received during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12-month period following the preparation of such financial restatement from the Chief Executive Officer and Chief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Officer.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Equity Grant Practices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Although we do not have a formal policy regarding the timing of equity award grants, we generally grant annual equity awards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named executive officers on a pre-established date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we do not grant any form of equity compensation in anticipation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release of material, non-public information.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Similarly, we do not time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release of material, non-public information based on 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award grant dates for the purpose of affecting the value of any equity award. The Compensation Committee also does not take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material, non-public information into account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when determining the timing and terms of equity award grants, provided that, if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material, non-public information becomes known to the Compensation Committee prior to granting an equity award,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Committee takes the existence of such information into consideration and uses its business judgment to determine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whether to delay the grant of equity to avoid any impropriety.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fiscal year 2025, we did not award any options to a named executive officer in the period beginning four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days before the filing of a periodic report on Form 10-Q or Form 10-K, or the filing or furnishing of a current report on Form 8-K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disclosed material nonpublic information, and ending one business day after the filing or furnishing of such report.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Stock Ownership Guidelines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All of our executive officers hold either shares of our stock and/or equity awards, which we believe help align their interests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those of our stockholders. As a result, at this time, our board of directors has not adopted formal stock ownership guidelines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named executive officers, although it may consider doing so in the future.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Securities Trading Policy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We have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adopted a Securities Trading Policy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governing the purchase, sale, and other dispositions of our securities by our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directors, officers, employees and other individuals associated with us that we believe is reasonably designed to promote compliance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insider trading laws, rules and regulations and listing standards applicable to us. It is also our policy to comply with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securities laws when engaging in transactions in our own securities.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Prohibitions against Hedging and Pledging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Securities Trading Policy prohibits our directors, officers, employees and other individuals associated with us from engaging,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directly or indirectly, in hedging transactions or other transactions designed to hedge or offset any decrease in the market value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Company securities. The policy provides that prohibited hedging transactions include, among other things, collars, equity swaps,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funds and prepaid variable forward sale contracts, subject to a limited exception that permits Permitted Persons (as defined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below) to enter into prepaid variable forward transactions or substantially similar transactions with respect to Company securities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so long as the aggregate Company securities underlying such transaction(s) entered into do not exceed 10% of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26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common stock beneficially owned by such Permitted Person. The policy also prohibits holding Company securities in a margin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account. In addition, pledges of Company securities are generally prohibited, except for a limited exception that provides Permitted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Persons the ability to pledge shares of their stock (other than options, warrants, restricted stock units or other rights to purchase stock)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collateral for a </w:t>
      </w:r>
      <w:r>
        <w:rPr>
          <w:rFonts w:ascii="Times New Roman;serif" w:hAnsi="Times New Roman;serif"/>
          <w:b w:val="false"/>
          <w:i/>
          <w:sz w:val="20"/>
          <w:u w:val="single"/>
        </w:rPr>
        <w:t>bona fide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loan. Our Securities Trading Policy currently limits “Permitted Persons” to the Company’s Chief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 Officer and President.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Tax and Accounting Considerations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Deductibility of Executive Compensation.</w:t>
      </w:r>
      <w:r>
        <w:rPr>
          <w:caps w:val="false"/>
          <w:smallCaps w:val="false"/>
          <w:u w:val="single"/>
        </w:rPr>
        <w:t>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Compensation Committee of our Board generally takes into consideration the tax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implications to Gemini of our compensation program for our executives, including our named executive officers, including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respect to the tax deductibility of compensation paid under Section 162(m) of the Code. While our Compensation Committee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consider the deductibility of equity awards and cash and other compensation as one factor in determining executive compensation,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compensation committee also looks at other factors in making its decisions and retains the flexibility to award compensation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it determines to be consistent with the goals of our executive compensation program even if the awards are not deductible by us for tax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purposes. In addition to considering the tax consequences, our compensation committee generally considers the accounting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consequences of its decisions, including the impact of expenses being recognized in connection with equity-based awards,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determining the size and form of different equity-based awards.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  <w:shd w:fill="FFFFFF" w:val="clear"/>
        </w:rPr>
        <w:t>Accounting Treatment.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Compensation Committee of the Board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considers accounting implications when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designing compensation plans and arrangements for our named executive officers and other employees. Chief among these is ASC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718, the standard which governs the accounting treatment of certain stock-based compensation. Among other things, ASC 718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requires us to record a compensation expense in our income statement for all equity awards granted to our service providers, including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our named executive officers. This compensation expense is based on the grant date “fair value” of the equity award and, in most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cases, will be recognized ratably over the award’s requisite service period (which, generally, will correspond to the award’s vesting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schedule). This compensation expense is also reported in the Summary Compensation Table above, even though recipients may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never realize any value from their equity awards.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  <w:shd w:fill="FFFFFF" w:val="clear"/>
        </w:rPr>
        <w:t>Taxation of Parachute Payments and Deferred Compensation.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We do not provide, and have no obligation to provide, any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executive officer, including any named executive officer, with a “gross-up” or other reimbursement payment for any tax liability that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any executive might owe because of the application of Section 280G, 4999, or 409A of the Code.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Risk Oversight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Compensation Committee reviews and discusses with management, as applicable, the risks arising from our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philosophy and practices generally applicable to our employees, including our named executive officers, to determine whether they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encourage excessive risk-taking and to evaluate compensation policies and practices that could mitigate such risks. Based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conversations with management and Exequity’s review, we believe that our executive compensation program reflects an appropriate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mix of compensation elements, balancing current and long-term performance objectives, cash and equity compensation, and risks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rewards.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Equity Awards at December 31, 2025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sets forth information regarding outstanding equity awards held by our NEOs as of December 31, 2025.</w:t>
      </w:r>
    </w:p>
    <w:tbl>
      <w:tblPr>
        <w:tblW w:w="99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86"/>
        <w:gridCol w:w="946"/>
        <w:gridCol w:w="1021"/>
        <w:gridCol w:w="1111"/>
        <w:gridCol w:w="1096"/>
        <w:gridCol w:w="751"/>
        <w:gridCol w:w="931"/>
        <w:gridCol w:w="1231"/>
        <w:gridCol w:w="1426"/>
      </w:tblGrid>
      <w:tr>
        <w:trPr/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10" w:type="dxa"/>
            <w:gridSpan w:val="5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Option Awards</w:t>
            </w:r>
          </w:p>
        </w:tc>
        <w:tc>
          <w:tcPr>
            <w:tcW w:w="265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48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</w:t>
            </w:r>
          </w:p>
        </w:tc>
        <w:tc>
          <w:tcPr>
            <w:tcW w:w="9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Grant Date</w:t>
            </w:r>
          </w:p>
        </w:tc>
        <w:tc>
          <w:tcPr>
            <w:tcW w:w="102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Options (#)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Exercisable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Options (#)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Unexercisable</w:t>
            </w:r>
          </w:p>
        </w:tc>
        <w:tc>
          <w:tcPr>
            <w:tcW w:w="109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plan awards: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underlying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unexercised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unearned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options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(#)</w:t>
            </w:r>
          </w:p>
        </w:tc>
        <w:tc>
          <w:tcPr>
            <w:tcW w:w="75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Exercise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Price ($)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Expiration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Date</w:t>
            </w:r>
          </w:p>
        </w:tc>
        <w:tc>
          <w:tcPr>
            <w:tcW w:w="123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shares or units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of stock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have not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(#)</w:t>
            </w:r>
          </w:p>
        </w:tc>
        <w:tc>
          <w:tcPr>
            <w:tcW w:w="142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Market value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shares of units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stock that have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not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($)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</w:tr>
      <w:tr>
        <w:trPr/>
        <w:tc>
          <w:tcPr>
            <w:tcW w:w="148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Tyler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Winklevoss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....</w:t>
            </w:r>
          </w:p>
        </w:tc>
        <w:tc>
          <w:tcPr>
            <w:tcW w:w="94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021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3,182,731</w:t>
            </w:r>
          </w:p>
        </w:tc>
        <w:tc>
          <w:tcPr>
            <w:tcW w:w="751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28.00</w:t>
            </w:r>
          </w:p>
        </w:tc>
        <w:tc>
          <w:tcPr>
            <w:tcW w:w="931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9/11/2035</w:t>
            </w:r>
          </w:p>
        </w:tc>
        <w:tc>
          <w:tcPr>
            <w:tcW w:w="1231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42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</w:tr>
      <w:tr>
        <w:trPr/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Cameron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Winklevoss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....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3,182,731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28.00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9/11/2035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</w:tr>
      <w:tr>
        <w:trPr/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Dan Chen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..........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535,714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5,314,283</w:t>
            </w:r>
          </w:p>
        </w:tc>
      </w:tr>
      <w:tr>
        <w:trPr/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Marshall Beard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267,857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2,656,341</w:t>
            </w:r>
          </w:p>
        </w:tc>
      </w:tr>
      <w:tr>
        <w:trPr/>
        <w:tc>
          <w:tcPr>
            <w:tcW w:w="148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Tyler Meade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20"/>
                <w:u w:val="none"/>
                <w:effect w:val="none"/>
              </w:rPr>
              <w:t>......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8/15/2022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3,402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33,748</w:t>
            </w:r>
          </w:p>
        </w:tc>
      </w:tr>
      <w:tr>
        <w:trPr/>
        <w:tc>
          <w:tcPr>
            <w:tcW w:w="148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1/24/2025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(7)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414,357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4,112,821</w:t>
            </w:r>
          </w:p>
        </w:tc>
      </w:tr>
      <w:tr>
        <w:trPr/>
        <w:tc>
          <w:tcPr>
            <w:tcW w:w="148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267,857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28.00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9/11/2035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</w:tr>
      <w:tr>
        <w:trPr/>
        <w:tc>
          <w:tcPr>
            <w:tcW w:w="148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489,651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4,857,338</w:t>
            </w:r>
          </w:p>
        </w:tc>
      </w:tr>
      <w:tr>
        <w:trPr/>
        <w:tc>
          <w:tcPr>
            <w:tcW w:w="148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214,285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2,125,707</w:t>
            </w:r>
          </w:p>
        </w:tc>
      </w:tr>
      <w:tr>
        <w:trPr/>
        <w:tc>
          <w:tcPr>
            <w:tcW w:w="148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5/15/2024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20,665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205,797</w:t>
            </w:r>
          </w:p>
        </w:tc>
      </w:tr>
      <w:tr>
        <w:trPr/>
        <w:tc>
          <w:tcPr>
            <w:tcW w:w="148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1/24/2025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(7)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311,394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3,089,028</w:t>
            </w:r>
          </w:p>
        </w:tc>
      </w:tr>
      <w:tr>
        <w:trPr/>
        <w:tc>
          <w:tcPr>
            <w:tcW w:w="148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214,285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28.00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9/11/2035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</w:tr>
      <w:tr>
        <w:trPr/>
        <w:tc>
          <w:tcPr>
            <w:tcW w:w="148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9/11/2025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345,054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3,422,936</w:t>
            </w:r>
          </w:p>
        </w:tc>
      </w:tr>
    </w:tbl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(1)The amounts in this column represent the market value of the RSUs and Restricted Shares held by our NEOs as of December 31, 2025, calculated by multiplying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the number of RSUs or Restricted Shares by $9.92, the closing price of our Class A common stock on December 31, 2025. These amounts do not reflect the actual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economic value that may be realized by our NEOs upon the vesting of Restricted Shares or the vesting and settlement of the RSUs.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(2)Represents a performance-option award which vests and becomes exercisable upon the satisfaction of both the service-based vesting conditions and performance-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based vesting conditions. The service-based vesting conditions are satisfied as follows: (i) 50% upon the applicable named executive officer’s continuous service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with the Company through August 15, 2028, and (ii) the remaining 50% upon the applicable named executive officer’s continuous service with the Company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through August 15, 2030. The performance-based vesting conditions are satisfied in four equal tranches upon the achievement of the corresponding four stock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price hurdles, as described above in “—</w:t>
      </w:r>
      <w:r>
        <w:rPr>
          <w:rFonts w:ascii="Times New Roman;serif" w:hAnsi="Times New Roman;serif"/>
          <w:b w:val="false"/>
          <w:i/>
          <w:strike w:val="false"/>
          <w:dstrike w:val="false"/>
          <w:sz w:val="16"/>
          <w:u w:val="none"/>
          <w:effect w:val="none"/>
        </w:rPr>
        <w:t>Equity-based Compensation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.”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(3)Represents an award of RSUs that vests as follows: 1/6 on May 20, 2026, and the remaining 5/6 in substantially equal quarterly installments thereafter, in each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case, subject to Mr. Chen’s continuous service with the Company through the applicable vesting date. Pursuant to a Release and Separation Agreement, Mr. Chen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received one month of accelerated vesting of his equity awards upon his separation from the Company in February 17, 2026, and this award was accordingly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forfeited in its entirety.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(4)Represents an award of RSUs which vest over a four-year period, with 25% vesting on a one-year cliff, and the remaining portion vesting in substantially equal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quarterly installments thereafter, in each case, subject to continuous service with the Company through the applicable vesting date. As none of the award would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have vested within the three months following the separation of each of Messrs. Beard and Meade from the Company on February 17, 2026, each forfeited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award in its entirety pursuant to the terms of their applicable Release and Separation Agreements.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(5)Represents PIUs granted on August 15, 2022 that were converted to Restricted Shares in connection with the Company’s IPO effective September 15, 2025.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award vests monthly over four years from the vesting commencement date of July 1, 2022, subject to continuous service with the Company through the applicable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vesting date. Mr. Beard received three months’ accelerated vesting of this award under his Release and Separation Agreement upon his separation from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Company on February 17, 2026. The remaining portion was forfeited.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(6)Represents PIUs granted May 15, 2024 that were converted to Restricted Shares in connection with the Company’s IPO effective September 15, 2025. The award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vests monthly over three years from the vesting commencement date of January 1, 2024, subject to continuous service with the Company through the applicable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vesting date. Mr. Meade received three months’ accelerated vesting of this award under his Release and Separation Agreement upon separation from the Company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on February 17, 2026. The remaining portion was forfeited.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(7)Represents PIUs granted January 24, 2025 that were converted to Restricted Shares in connection with the Company’s IPO effective September 15, 2025.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award vests in substantially equal monthly installments over a period of two years, subject to continuous service with the Company through the applicable vesting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date. Messrs. Beard and Meade each received three months’ accelerated vesting of this award under their applicable Release and Separation Agreements upon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separation from the Company on February 17, 2026. The remaining portion was forfeited.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28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(8)Represents a time-vesting option award which vests over a four-year period, with 25% vesting on a one-year cliff, and the remaining portion vesting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substantially equal quarterly installments thereafter, in each case, subject to the named executive officer’s continuous service with the Company through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applicable vesting date. Messrs. Beard and Meade each received three months’ accelerated vesting of this award under their applicable Release and Separation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Agreements upon separation from the Company on February 17, 2026. The remaining portion was forfeited.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(9)Represents an award of RSUs that vests in substantially equal monthly installments over a two-year period commencing as of January 24, 2025, subject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named executive officer’s continuous service with the Company through each applicable vesting date. Messrs. Beard and Meade each received three months’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accelerated vesting of this award under their applicable Release and Separation Agreements upon separation from the Company on February 17, 2026.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remaining portion was forfeited.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Committee Interlocks and Insider Participation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None of the members of our Compensation Committee has at any time been one of our executive officers or employees. None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executive officers currently serves, or has served during the last completed fiscal year, on the compensation committee or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directors of any other entity that has one or more executive officers serving as a member of our Board or Compensation Committee.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 Compensation Plan Information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sets forth certain information as of December 31, 2025, with respect to the Company’s shares of common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 that may be issued under the Company’s existing equity incentive plans that have been approved by stockholders and plans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have not been approved by stockholders: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15"/>
        <w:gridCol w:w="109"/>
        <w:gridCol w:w="802"/>
        <w:gridCol w:w="109"/>
        <w:gridCol w:w="1879"/>
        <w:gridCol w:w="109"/>
        <w:gridCol w:w="1424"/>
        <w:gridCol w:w="109"/>
        <w:gridCol w:w="1793"/>
        <w:gridCol w:w="156"/>
      </w:tblGrid>
      <w:tr>
        <w:trPr/>
        <w:tc>
          <w:tcPr>
            <w:tcW w:w="37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1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Plan Category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Class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Number of Securities to be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Issued Upon Exercise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Outstanding Options,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Warrants and Rights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0"/>
              </w:rPr>
              <w:t>(1)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(a)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4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Weighted 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Exercise Price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Outstanding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Options, Warrants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and Rights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0"/>
              </w:rPr>
              <w:t>(2)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(b)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Number of Securities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Remaining Available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Future Issuance Under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Equity 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Plans (Excluding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 xml:space="preserve">Securities Reflected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Column (a))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0"/>
              </w:rPr>
              <w:t>(3)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(c)</w:t>
            </w:r>
          </w:p>
        </w:tc>
        <w:tc>
          <w:tcPr>
            <w:tcW w:w="1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15" w:type="dxa"/>
            <w:vMerge w:val="restart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Equity compensation plans approved by security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holders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Class A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17,181,289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$28.00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7,565,709</w:t>
            </w:r>
          </w:p>
        </w:tc>
        <w:tc>
          <w:tcPr>
            <w:tcW w:w="1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15" w:type="dxa"/>
            <w:vMerge w:val="continue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Class B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Equity compensation plans not approved by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security holders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Total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9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17,181,289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$28.00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7,565,709</w:t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(1)Consists of 8,651,540 unvested RSUs with service-only vesting conditions, 1,682,145 vested RSUs with service-only vesting conditions that were not settled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into securities due to delayed settlement relating to a 180-day IPO lockup period, 482,142 unvested stock options with service-only vesting conditions,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6,365,462 unvested performance-based stock options with vesting conditions tied to the achievement of performance conditions.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(2)The weighted-average exercise price is calculated based solely on outstanding stock options. It does not take into account the shares of our common stock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underlying restricted stock units, which have no exercise price.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(3)Includes our Equity Plan and our Employee Stock Purchase Plan (“ESPP”), each of which was approved by our sole stockholder prior to our IPO.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Equity Plan provides that on January 1 of each year, starting on January 1, 2026 and ending on (and including) January 1, 2035, the number of shares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reserved for issuance thereunder is automatically increased by a number equal to 5% of the total number of shares of all classes of common stock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outstanding on December 31 of the preceding year, unless our board of directors (or compensation committee) determines prior to the applicable January 1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that there will be no increase or that the increase will be for a lesser number of shares. The ESPP provides that on January 1 of each year, starting on January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1, 2026 and ending on (and including) January 1, 2035, the number of shares reserved for issuance thereunder is automatically increased by a number equal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to the lesser of 1% of the total number of shares of all classes of common stock outstanding on December 31 of the preceding year and 1,500,000 shares,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unless our board of directors (or compensation committee) determines prior to the applicable January 1 that the increase will be for a lesser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shares. On January 1, 2026, the number of shares available for issuance under our Equity Plan and ESPP increased by 5,872,802 shares and 1,174,560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shares, respectively, pursuant to these provisions. These increases are not reflected in the table above.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CERTAIN RELATIONSHIPS AND RELATED PERSON 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Policies and Procedures for Related Party Transactions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Board has adopted a written policy for the review of any transaction, arrangement or relationship in which we are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participant, the amount involved exceeds $120,000 and one of our executive officers, directors, director nominees or beneficial holders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more than 5% of our common stock (or their immediate family members or affiliates) is implicated, each of whom we refer to as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related person,” or has a direct or indirect material interest.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If a related person proposes to enter into such a transaction, arrangement or relationship, which we refer to as a “related person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transaction,” the proposed related person transaction must be reported to Gemini’s Legal Team. The policy calls for the proposed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related person transaction to be reviewed and, if deemed appropriate, approved by the Audit and Risk Committee or its Chair under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delegated authority. In approving or rejecting such proposed transactions, the Audit and Risk Committee will be required to consider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relevant facts and circumstances available and deemed relevant to the Audit and Risk Committee, including the material terms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transaction, risks, benefits, costs, availability of other comparable services or products and, if applicable, the impact on a director’s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independence. Our Audit and Risk Committee will approve only those transactions that, in light of known circumstances, are in, or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not inconsistent with, our best interests, as our Audit and Risk Committee determines in good faith in the exercise of its discretion.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event that any member of our Audit and Risk Committee is not a disinterested person with respect to the related person transaction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review, that member will be excluded from the review and approval or rejection of such related person transaction. Whenever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practicable, the reporting, review and approval will occur prior to entering into the transaction. If advance review and approval is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practicable, the Audit and Risk Committee will review and may, in its discretion, ratify the related person transaction retroactively.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Party Transactions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addition to the director and executive officer compensation arrangements discussed above, the following is a description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transactions since January 1, 2025, to which we have been a party in which the amount involved exceeded or will exceed $120,000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in which any of our directors, executive officers, beneficial holders of more than 5% of our common stock, or their immediate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family members or entities affiliated with them, had or will have a direct or indirect material interest.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Lending Agreements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have entered into lending agreements with WCF to borrow ether and bitcoin for the purposes and on the terms set forth below.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agreements have no affirmative or negative covenants and are payable upon written notice from WCF, and are otherwise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prepayable at our option, at any time and from time to time, with no fixed maturity date stipulated.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Margin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: Since January 1, 2025, we have entered into lending agreements for an aggregate amount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29,380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ether and 2,183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bitcoin at loan fees of between 4% and 4.25% per annum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The purpose of these lending agreements was to transfer all or a portion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such ether and bitcoin to unrelated third parties to satisfy the obligation to post collateral under applicable lending agreements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such unrelated third parties, and otherwise retain the remaining portion as additional margin under the applicable agreements. As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March 31, 2026, repayment obligations in respect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nil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ether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2,097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bitcoin remained outstanding.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$3.3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$1.1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loan fees have accrued or been paid for the year ended December 31, 2025 and the three months ended March 31, 2026, respectively.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Collateral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: Prior to January 1, 2025, we entered into lending agreements for an aggregate amount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840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bitcoin at loan fees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between 4% and 5% per annum. The purpose of these lending agreements was to satisfy collateral obligations under certain indemnity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insurance agreements, with unrelated third parties that were entered into in connection with regulatory requirements for the money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transmitter licenses that we hold. As of March 31, 2026, repayment obligations in respect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623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bitcoin remained outstanding.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$0.5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loan fees have accrued or been paid for the year ended December 31, 2025 and the three months ended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March 31, 2026, respectively.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Other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: Prior to January 1, 2025, we entered into lending agreements for an aggregate amount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30,000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ether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5,000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bitcoin at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loan fees of 4% per annum. The purpose of these lending agreements was to meet NYDFS capital reserve requirements and for general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corporate purposes. As of March 31, 2026, repayment obligations in respect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nil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ether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971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bitcoin remained outstanding.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$11.6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$1.7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loan fees have accrued or been paid for the year ended December 31, 2025 and the three months ended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March 31, 2026,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 xml:space="preserve">Convertible Debt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All outstanding related-party convertible debt automatically converted into shares of our common stock in connection with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IPO in September 2025 as set forth below. We presently have no related party convertible debt outstanding.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30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Convertible Notes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:   Prior to January 1, 2025, we issued convertible promissory notes to WCF with an aggregate principal amount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$200 million. The Convertible Notes accrued interest at 8% per annum, payable at the earlier of their maturity date or on the date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notes converted. In connection with our IPO in September 2025, approximately $285 million in principal amount (plus accrued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unpaid interest thereon) in the Convertible Notes outstanding automatically converted into 10.2 million shares of Class B common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stock, pursuant to the terms at a price per share equal to $22.40, or 80% of the IPO price of $28.00 per share.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Convertible Term Loans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:   Prior to January 1, 2025, we entered into convertible term loan agreements with WCF to make loan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requests from time to time of a U.S. dollar denominated aggregate principal amount of up to $475 million to be funded in bitcoin,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ether, or such other cryptocurrency at an interest rate of no less than 4% and no greater than 16% per annum. In connection with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IPO in September 2025, approximately $585 million in principal amount (plus accrued and unpaid interest thereon) in our Convertible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Term Loans outstanding automatically converted into 20.9 million shares of Class B common stock, pursuant to the terms at a price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 share equal to $22.40, or 80% of the IPO price of $28.00 per share.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Other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Equipment and Other Services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: In 2017, we entered into agreements with Elysian Networks, LLC (“Elysian”) and Winklevoss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Capital Management, LLC (“WCM”), each related parties through common ownership. The purpose of the 2017 Elysian agreement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was for equipment leasing, cloud-based servers, data storage, and computer processing services, and a nominee agreement for lease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payments was also entered into with Elysian in 2019. For the year ended December 31, 2025, we incurred expenses of approximately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$0.8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the Elysian agreements. The purpose of the WCM agreement was for management and consulting services. For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year ended December 31, 2025, we incurred expenses of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 this agreement.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agreements were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terminated prior to our IPO in 2025 and no further expenses will be incurred and no further payments will be made pursuant to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agreements.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Security Services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: In January 2026, we entered into a services agreement with WCM, pursuant to which WCM provides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protection, secure transportation and risk advisory services for our Chief Executive Officer, President, their family members, and,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appropriate, other individuals designated by Gemini from time to time. The agreement has an initial one-year term and renews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automatically unless earlier terminated. Under the agreement, we pay WCM a fixed monthly rate of $400,000, plus reimbursement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certain other expenses. WCM has agreed to waive any fees, costs, or expenses, that exceed $1,000,000 in the aggregate for the first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year of this agreement. For the three months ended March 31, 2026, we have incurred expenses of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this agreement.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Indemnification Agreements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amended and restated articles of incorporation and amended and restated bylaws provide that we shall indemnify each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directors and officers to the fullest extent permitted by applicable law. We have entered into customary indemnification agreements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each of our executive officers and directors that provide them with customary indemnification in connection with their service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us or on our behalf.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Registration Rights Agreement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Subject to certain exceptions and limitations, the holders of at least 25% of registrable securities then outstanding can request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register the offer and sale of their shares on a registration statement on Form S-1 so long as the amount of anticipated aggregated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offering proceeds, net of underwriting discounts and commissions and offering expenses, is at least $75 million. If the Company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eligible to use a Form S-3 registration statement, the holders of at least 10% of registrable securities then outstanding can request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register the offer and sale of their shares on such registration statement so long as the amount of anticipated aggregated offering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proceeds, net of underwriting discounts and commissions and offering expenses, is at least $75 million. If we propose to register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our Class A common stock under the Securities Act, either for our account or for the account of our other security holders, holders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will be entitled to certain piggyback registration rights allowing each to include their shares in the registration. We must pay 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registration expenses (including certain expenses of counsel for selling holders, but excluding underwriting discounts, selling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commissions and transfer taxes) in connection with effecting any demand registration, piggyback registration, or shelf registration,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indemnify the holders against certain liabilities which may arise under the Securities 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Directed Share Program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connection with our IPO in September 2025, and at our request, the underwriters reserved for sale, at the IPO price,  shares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Class A common stock offered pursuant to our IPO to certain individuals and entities. A family member of our co-founders purchased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178,571 shares at the IPO price in the directed share program for an aggregate purchase price of approximately $5.0 million.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HOUSEHOLDING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Some banks, brokers and other nominee record holders may be participating in the practice of “householding” proxy statements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annual reports. This means that only one copy of our documents, including the proxy statement, may have been sent to multiple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stockholders in your household. We will promptly deliver a separate copy to you upon written or oral request to Gemini Space Station,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Inc., 600 Third Avenue, 2nd Floor, New York, NY 10016, Attention: Secretary, telephone: (646) 751-4401. If you want to receive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separate copies of the proxy statement or annual report to stockholders in the future, or if you are receiving multiple copies and would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like to receive only one copy per household, you should contact your bank, broker, or other nominee record holder, or you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contact us at the above address and phone number.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STOCKHOLDER PROPOSALS FOR 2027 ANNUAL MEETING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Submission of Stockholder Proposals for Inclusion in Next Year’s Annual Meeting Proxy Statement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Any proposal or proposals by a stockholder intended to be included in the proxy statement and form of proxy relating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annual meeting of stockholders to be held in 2027 must comply with the procedures set forth in Rule 14a-8 under the Exchange Act.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be eligible for inclusion, your proposal(s) must be received by the Company no later than December 31, 2026. Proposals should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sent to the Secretary of the Company at its principal executive offices, 600 Third Avenue, 2nd Floor, New York, NY 10016. Nothing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this paragraph shall be deemed to require the Company to include in its proxy statement and proxy relating to the annual meeting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stockholders to be held in 2027 any stockholder proposal which may be omitted from the proxy materials according to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regulations of the SEC in effect at the time the proposal is received.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Stockholder Proposals for Presentation at Next Year’s Annual Meeting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stockholder who wishes to submit a proposal or nominate a candidate to serve as a director for consideration at the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meeting of stockholders to be held in 2027 outside the processes of Rule 14a-8 under the Exchange Act must timely deliver a written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notice in accordance with the requirements, including eligibility and information required in such notice, set forth in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Bylaws.  To be timely, such written notice must be received by the Secretary of the Company at its principal executive offices, 600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Third Avenue, 2nd Floor, New York, NY 10016, not earlier than the close of business on February 15, 2027, nor later than the close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 on March 17, 2027.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addition to satisfying the foregoing requirements, to comply with the SEC’s universal proxy rules, stockholders who intend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solicit proxies in support of director nominees other than our nominees must comply with the requirements of Rule 14a-19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Act. To the extent any information is required by Rule 14a-19 that is not required under our Bylaws, it must be received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April 16, 2027.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MATTERS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Company knows of no other matters to be submitted to the stockholders at the Annual Meeting, other than the proposals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referred to in this proxy statement. If any other matters properly come before the stockholders at the Annual Meeting or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postponement or adjournment thereof, it is the intention of the proxy holders to vote the shares represented thereby on such matters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accordance with their best judgment.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32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848475" cy="7543800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i-4"/>
      <w:bookmarkEnd w:id="3"/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33</w:t>
      </w:r>
    </w:p>
    <w:p>
      <w:pPr>
        <w:pStyle w:val="TextBody"/>
        <w:bidi w:val="0"/>
        <w:spacing w:before="0" w:after="283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5829300" cy="7543800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i-5"/>
      <w:bookmarkEnd w:id="4"/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8</Pages>
  <Words>19482</Words>
  <Characters>105230</Characters>
  <CharactersWithSpaces>124013</CharactersWithSpaces>
  <Paragraphs>1714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