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033d4_8k.htm"/>
      <w:bookmarkStart w:id="1" w:name="kstm2626033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101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Gemini Space Station,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2975"/>
        <w:gridCol w:w="2735"/>
        <w:gridCol w:w="3020"/>
      </w:tblGrid>
      <w:tr>
        <w:trPr/>
        <w:tc>
          <w:tcPr>
            <w:tcW w:w="2975" w:type="dxa"/>
            <w:tcBorders/>
            <w:vAlign w:val="center"/>
          </w:tcPr>
          <w:p>
            <w:pPr>
              <w:pStyle w:val="TableContents"/>
              <w:bidi w:val="0"/>
              <w:spacing w:before="0" w:after="283"/>
              <w:jc w:val="center"/>
              <w:rPr/>
            </w:pPr>
            <w:bookmarkStart w:id="5" w:name="xdx_900_edei--EntityIncorporationStateCo"/>
            <w:bookmarkEnd w:id="5"/>
            <w:r>
              <w:rPr>
                <w:b/>
              </w:rPr>
              <w:t>Nevada</w:t>
            </w:r>
            <w:r>
              <w:rPr/>
              <w:t xml:space="preserve"> </w:t>
              <w:br/>
              <w:t>(State or other jurisdiction of</w:t>
              <w:br/>
              <w:t>incorporation or organization)  </w:t>
            </w:r>
          </w:p>
        </w:tc>
        <w:tc>
          <w:tcPr>
            <w:tcW w:w="2735" w:type="dxa"/>
            <w:tcBorders/>
            <w:vAlign w:val="center"/>
          </w:tcPr>
          <w:p>
            <w:pPr>
              <w:pStyle w:val="TableContents"/>
              <w:bidi w:val="0"/>
              <w:spacing w:before="0" w:after="283"/>
              <w:jc w:val="center"/>
              <w:rPr/>
            </w:pPr>
            <w:bookmarkStart w:id="6" w:name="xdx_901_edei--EntityFileNumber_c20261014"/>
            <w:bookmarkEnd w:id="6"/>
            <w:r>
              <w:rPr>
                <w:b/>
              </w:rPr>
              <w:t>001-42836</w:t>
            </w:r>
            <w:r>
              <w:rPr/>
              <w:t xml:space="preserve"> </w:t>
              <w:br/>
              <w:t>(Commission File Number)  </w:t>
            </w:r>
          </w:p>
        </w:tc>
        <w:tc>
          <w:tcPr>
            <w:tcW w:w="3020" w:type="dxa"/>
            <w:tcBorders/>
            <w:vAlign w:val="center"/>
          </w:tcPr>
          <w:p>
            <w:pPr>
              <w:pStyle w:val="TableContents"/>
              <w:bidi w:val="0"/>
              <w:spacing w:before="0" w:after="283"/>
              <w:jc w:val="center"/>
              <w:rPr/>
            </w:pPr>
            <w:bookmarkStart w:id="7" w:name="xdx_903_edei--EntityTaxIdentificationNum"/>
            <w:bookmarkEnd w:id="7"/>
            <w:r>
              <w:rPr>
                <w:b/>
              </w:rPr>
              <w:t>33-3263417</w:t>
              <w:br/>
            </w:r>
            <w:r>
              <w:rPr/>
              <w:t xml:space="preserve">(I.R.S. Employer Identification </w:t>
              <w:br/>
              <w:t>Number)  </w:t>
            </w:r>
          </w:p>
        </w:tc>
      </w:tr>
      <w:tr>
        <w:trPr/>
        <w:tc>
          <w:tcPr>
            <w:tcW w:w="8730" w:type="dxa"/>
            <w:gridSpan w:val="3"/>
            <w:tcBorders/>
            <w:vAlign w:val="center"/>
          </w:tcPr>
          <w:p>
            <w:pPr>
              <w:pStyle w:val="TableContents"/>
              <w:bidi w:val="0"/>
              <w:spacing w:before="0" w:after="283"/>
              <w:jc w:val="center"/>
              <w:rPr/>
            </w:pPr>
            <w:r>
              <w:rPr/>
              <w:t> </w:t>
            </w:r>
          </w:p>
        </w:tc>
      </w:tr>
      <w:tr>
        <w:trPr/>
        <w:tc>
          <w:tcPr>
            <w:tcW w:w="8730" w:type="dxa"/>
            <w:gridSpan w:val="3"/>
            <w:tcBorders/>
            <w:vAlign w:val="center"/>
          </w:tcPr>
          <w:p>
            <w:pPr>
              <w:pStyle w:val="TableContents"/>
              <w:bidi w:val="0"/>
              <w:spacing w:before="0" w:after="283"/>
              <w:jc w:val="center"/>
              <w:rPr/>
            </w:pPr>
            <w:bookmarkStart w:id="8" w:name="xdx_900_edei--EntityAddressAddressLine1_"/>
            <w:bookmarkEnd w:id="8"/>
            <w:r>
              <w:rPr>
                <w:b/>
              </w:rPr>
              <w:t>600 Third Avenue, 2nd Floor</w:t>
            </w:r>
            <w:r>
              <w:rPr/>
              <w:t xml:space="preserve"> </w:t>
            </w:r>
            <w:r>
              <w:rPr>
                <w:b/>
              </w:rPr>
              <w:br/>
            </w:r>
            <w:bookmarkStart w:id="9" w:name="xdx_903_edei--EntityAddressCityOrTown_c2"/>
            <w:bookmarkEnd w:id="9"/>
            <w:r>
              <w:rPr>
                <w:b/>
              </w:rPr>
              <w:t xml:space="preserve">New York, </w:t>
            </w:r>
            <w:bookmarkStart w:id="10" w:name="xdx_90C_edei--EntityAddressStateOrProvin"/>
            <w:bookmarkEnd w:id="10"/>
            <w:r>
              <w:rPr>
                <w:b/>
              </w:rPr>
              <w:t xml:space="preserve">NY </w:t>
            </w:r>
            <w:bookmarkStart w:id="11" w:name="xdx_907_edei--EntityAddressPostalZipCode"/>
            <w:bookmarkEnd w:id="11"/>
            <w:r>
              <w:rPr>
                <w:b/>
              </w:rPr>
              <w:t>10016</w:t>
            </w:r>
            <w:r>
              <w:rPr>
                <w:b/>
                <w:position w:val="8"/>
                <w:sz w:val="19"/>
              </w:rPr>
              <w:t>1</w:t>
            </w:r>
            <w:r>
              <w:rPr/>
              <w:t xml:space="preserve"> </w:t>
            </w:r>
          </w:p>
        </w:tc>
      </w:tr>
      <w:tr>
        <w:trPr/>
        <w:tc>
          <w:tcPr>
            <w:tcW w:w="873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 (Zip code)</w:t>
            </w:r>
          </w:p>
        </w:tc>
      </w:tr>
      <w:tr>
        <w:trPr/>
        <w:tc>
          <w:tcPr>
            <w:tcW w:w="8730" w:type="dxa"/>
            <w:gridSpan w:val="3"/>
            <w:tcBorders/>
            <w:vAlign w:val="center"/>
          </w:tcPr>
          <w:p>
            <w:pPr>
              <w:pStyle w:val="TableContents"/>
              <w:bidi w:val="0"/>
              <w:spacing w:before="0" w:after="283"/>
              <w:jc w:val="center"/>
              <w:rPr/>
            </w:pPr>
            <w:r>
              <w:rPr/>
              <w:t> </w:t>
            </w:r>
          </w:p>
        </w:tc>
      </w:tr>
      <w:tr>
        <w:trPr/>
        <w:tc>
          <w:tcPr>
            <w:tcW w:w="8730"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bookmarkStart w:id="12" w:name="xdx_90C_edei--CityAreaCode_c20261014__20"/>
            <w:bookmarkEnd w:id="12"/>
            <w:r>
              <w:rPr>
                <w:rFonts w:ascii="Times New Roman;Times;Serif" w:hAnsi="Times New Roman;Times;Serif"/>
                <w:b/>
                <w:sz w:val="20"/>
              </w:rPr>
              <w:t xml:space="preserve">646) </w:t>
            </w:r>
            <w:bookmarkStart w:id="13" w:name="xdx_901_edei--LocalPhoneNumber_c20261014"/>
            <w:bookmarkEnd w:id="13"/>
            <w:r>
              <w:rPr>
                <w:rFonts w:ascii="Times New Roman;Times;Serif" w:hAnsi="Times New Roman;Times;Serif"/>
                <w:b/>
                <w:sz w:val="20"/>
              </w:rPr>
              <w:t>751-4401</w:t>
            </w:r>
          </w:p>
        </w:tc>
      </w:tr>
      <w:tr>
        <w:trPr/>
        <w:tc>
          <w:tcPr>
            <w:tcW w:w="873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r>
        <w:trPr/>
        <w:tc>
          <w:tcPr>
            <w:tcW w:w="8730" w:type="dxa"/>
            <w:gridSpan w:val="3"/>
            <w:tcBorders/>
            <w:vAlign w:val="center"/>
          </w:tcPr>
          <w:p>
            <w:pPr>
              <w:pStyle w:val="TableContents"/>
              <w:bidi w:val="0"/>
              <w:spacing w:before="0" w:after="283"/>
              <w:jc w:val="center"/>
              <w:rPr/>
            </w:pPr>
            <w:r>
              <w:rPr/>
              <w:t> </w:t>
            </w:r>
          </w:p>
        </w:tc>
      </w:tr>
      <w:tr>
        <w:trPr/>
        <w:tc>
          <w:tcPr>
            <w:tcW w:w="2975" w:type="dxa"/>
            <w:tcBorders/>
            <w:vAlign w:val="center"/>
          </w:tcPr>
          <w:p>
            <w:pPr>
              <w:pStyle w:val="TableContents"/>
              <w:bidi w:val="0"/>
              <w:spacing w:before="0" w:after="283"/>
              <w:jc w:val="center"/>
              <w:rPr/>
            </w:pPr>
            <w:r>
              <w:rPr/>
              <w:t> </w:t>
            </w:r>
          </w:p>
        </w:tc>
        <w:tc>
          <w:tcPr>
            <w:tcW w:w="27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c>
          <w:tcPr>
            <w:tcW w:w="3020" w:type="dxa"/>
            <w:tcBorders/>
            <w:vAlign w:val="center"/>
          </w:tcPr>
          <w:p>
            <w:pPr>
              <w:pStyle w:val="TableContents"/>
              <w:bidi w:val="0"/>
              <w:spacing w:before="0" w:after="283"/>
              <w:jc w:val="left"/>
              <w:rPr/>
            </w:pPr>
            <w:r>
              <w:rPr/>
              <w:t> </w:t>
            </w:r>
          </w:p>
        </w:tc>
      </w:tr>
      <w:tr>
        <w:trPr/>
        <w:tc>
          <w:tcPr>
            <w:tcW w:w="8730"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pPr>
            <w:bookmarkStart w:id="14" w:name="xdx_90D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bookmarkStart w:id="15" w:name="xdx_902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bookmarkStart w:id="16" w:name="xdx_900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bookmarkStart w:id="17" w:name="xdx_902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9210" w:type="dxa"/>
        <w:jc w:val="left"/>
        <w:tblInd w:w="0" w:type="dxa"/>
        <w:tblLayout w:type="fixed"/>
        <w:tblCellMar>
          <w:top w:w="0" w:type="dxa"/>
          <w:left w:w="0" w:type="dxa"/>
          <w:bottom w:w="0" w:type="dxa"/>
          <w:right w:w="0" w:type="dxa"/>
        </w:tblCellMar>
      </w:tblPr>
      <w:tblGrid>
        <w:gridCol w:w="4280"/>
        <w:gridCol w:w="1340"/>
        <w:gridCol w:w="3590"/>
      </w:tblGrid>
      <w:tr>
        <w:trPr/>
        <w:tc>
          <w:tcPr>
            <w:tcW w:w="428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4280" w:type="dxa"/>
            <w:tcBorders/>
            <w:vAlign w:val="center"/>
          </w:tcPr>
          <w:p>
            <w:pPr>
              <w:pStyle w:val="TableContents"/>
              <w:bidi w:val="0"/>
              <w:spacing w:before="0" w:after="283"/>
              <w:jc w:val="center"/>
              <w:rPr>
                <w:rFonts w:ascii="Times New Roman;Times;Serif" w:hAnsi="Times New Roman;Times;Serif"/>
                <w:b/>
                <w:sz w:val="20"/>
              </w:rPr>
            </w:pPr>
            <w:bookmarkStart w:id="18" w:name="xdx_905_edei--Security12bTitle_c20261014"/>
            <w:bookmarkEnd w:id="18"/>
            <w:r>
              <w:rPr>
                <w:rFonts w:ascii="Times New Roman;Times;Serif" w:hAnsi="Times New Roman;Times;Serif"/>
                <w:b/>
                <w:sz w:val="20"/>
              </w:rPr>
              <w:t>Class A 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b/>
                <w:sz w:val="20"/>
              </w:rPr>
            </w:pPr>
            <w:bookmarkStart w:id="19" w:name="xdx_90F_edei--TradingSymbol_c20261014__2"/>
            <w:bookmarkEnd w:id="19"/>
            <w:r>
              <w:rPr>
                <w:rFonts w:ascii="Times New Roman;Times;Serif" w:hAnsi="Times New Roman;Times;Serif"/>
                <w:b/>
                <w:sz w:val="20"/>
              </w:rPr>
              <w:t>GEMI</w:t>
            </w:r>
          </w:p>
        </w:tc>
        <w:tc>
          <w:tcPr>
            <w:tcW w:w="3590" w:type="dxa"/>
            <w:tcBorders/>
            <w:vAlign w:val="center"/>
          </w:tcPr>
          <w:p>
            <w:pPr>
              <w:pStyle w:val="TableContents"/>
              <w:bidi w:val="0"/>
              <w:spacing w:before="0" w:after="283"/>
              <w:jc w:val="center"/>
              <w:rPr>
                <w:rFonts w:ascii="Times New Roman;Times;Serif" w:hAnsi="Times New Roman;Times;Serif"/>
                <w:b/>
                <w:sz w:val="20"/>
              </w:rPr>
            </w:pPr>
            <w:bookmarkStart w:id="20" w:name="xdx_902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Emerging growth company    </w:t>
      </w:r>
      <w:bookmarkStart w:id="21" w:name="xdx_90B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We use this address for receiving mail and correspondence to our principal executive office located in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Gemini Space Station, Inc. (the “Company”) filed a prospectus supplement (the “Prospectus Supplement”) to the Company’s registration statement on Form S-3 (Registration No. 333-299242) with the Securities and Exchange Commission, registering the potential resale of up to 7,142,857 shares of the Company’s Class A common stock, $0.001 par value per share (the “Class A common stock”), by the investor named thereunder. The registration of such shares of Class A common stock does not necessarily mean that such investor will offer to sell all or any portion of such shares, and it is under no obligation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as to the validity of the shares of Class A common stock covered by the Prospectus Supplement under Nevada law is attached hereto as Exhibit 5.1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bottom w:val="single" w:sz="8" w:space="0" w:color="FFFFFF"/>
            </w:tcBorders>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26033d4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6033d4_ex5-1.htm">
              <w:r>
                <w:rPr>
                  <w:rStyle w:val="InternetLink"/>
                  <w:rFonts w:ascii="Times New Roman;Times;Serif" w:hAnsi="Times New Roman;Times;Serif"/>
                  <w:sz w:val="20"/>
                </w:rPr>
                <w:t>Opinion of Brownstein Hyatt Farber Schreck, LLP.</w:t>
              </w:r>
            </w:hyperlink>
          </w:p>
        </w:tc>
      </w:tr>
      <w:tr>
        <w:trPr/>
        <w:tc>
          <w:tcPr>
            <w:tcW w:w="665" w:type="dxa"/>
            <w:tcBorders/>
            <w:tcMar>
              <w:bottom w:w="0" w:type="dxa"/>
            </w:tcMar>
            <w:vAlign w:val="center"/>
          </w:tcPr>
          <w:p>
            <w:pPr>
              <w:pStyle w:val="TableContents"/>
              <w:bidi w:val="0"/>
              <w:spacing w:before="0" w:after="283"/>
              <w:jc w:val="left"/>
              <w:rPr/>
            </w:pPr>
            <w:hyperlink w:anchor="tm2626033d4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6033d4_ex5-1.htm">
              <w:r>
                <w:rPr>
                  <w:rStyle w:val="InternetLink"/>
                  <w:rFonts w:ascii="Times New Roman;Times;Serif" w:hAnsi="Times New Roman;Times;Serif"/>
                  <w:sz w:val="20"/>
                </w:rPr>
                <w:t>Consent of Brownstein Hyatt Farber Schreck, LLP (included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470"/>
        <w:gridCol w:w="1430"/>
        <w:gridCol w:w="320"/>
        <w:gridCol w:w="252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c>
          <w:tcPr>
            <w:tcW w:w="28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GEMINI SPACE STATION, INC.</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470" w:type="dxa"/>
            <w:tcBorders>
              <w:bottom w:val="single" w:sz="8" w:space="0" w:color="FFFFFF"/>
            </w:tcBorders>
            <w:tcMar>
              <w:bottom w:w="28" w:type="dxa"/>
            </w:tcMar>
            <w:vAlign w:val="center"/>
          </w:tcPr>
          <w:p>
            <w:pPr>
              <w:pStyle w:val="TableContents"/>
              <w:bidi w:val="0"/>
              <w:spacing w:before="0" w:after="283"/>
              <w:jc w:val="left"/>
              <w:rPr/>
            </w:pPr>
            <w:r>
              <w:rPr/>
              <w:t> </w:t>
            </w:r>
          </w:p>
        </w:tc>
        <w:tc>
          <w:tcPr>
            <w:tcW w:w="1430" w:type="dxa"/>
            <w:tcBorders>
              <w:bottom w:val="single" w:sz="8" w:space="0" w:color="FFFFFF"/>
            </w:tcBorders>
            <w:tcMar>
              <w:bottom w:w="28" w:type="dxa"/>
            </w:tcMar>
            <w:vAlign w:val="center"/>
          </w:tcPr>
          <w:p>
            <w:pPr>
              <w:pStyle w:val="TableContents"/>
              <w:bidi w:val="0"/>
              <w:spacing w:before="0" w:after="283"/>
              <w:jc w:val="left"/>
              <w:rPr/>
            </w:pPr>
            <w:r>
              <w:rPr/>
              <w:t> </w:t>
            </w:r>
          </w:p>
        </w:tc>
        <w:tc>
          <w:tcPr>
            <w:tcW w:w="320" w:type="dxa"/>
            <w:tcBorders>
              <w:bottom w:val="single" w:sz="8"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Danijela Stojanovic</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Danijela Stojanovic</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6033d4_ex5-1.htm"/>
      <w:bookmarkStart w:id="24" w:name="kstm2626033d4_ex51"/>
      <w:bookmarkEnd w:id="23"/>
      <w:bookmarkEnd w:id="24"/>
      <w:r>
        <w:rPr>
          <w:b/>
        </w:rPr>
        <w:t>Exhibit 5.1</w:t>
      </w:r>
      <w:r>
        <w:br w:type="page"/>
      </w:r>
    </w:p>
    <w:p>
      <w:pPr>
        <w:pStyle w:val="TextBody"/>
        <w:bidi w:val="0"/>
        <w:spacing w:before="0" w:after="283"/>
        <w:jc w:val="left"/>
        <w:rPr/>
      </w:pPr>
      <w:r>
        <w:rPr/>
        <w:t> </w:t>
      </w:r>
    </w:p>
    <w:tbl>
      <w:tblPr>
        <w:tblW w:w="6575" w:type="dxa"/>
        <w:jc w:val="left"/>
        <w:tblInd w:w="0" w:type="dxa"/>
        <w:tblLayout w:type="fixed"/>
        <w:tblCellMar>
          <w:top w:w="0" w:type="dxa"/>
          <w:left w:w="0" w:type="dxa"/>
          <w:bottom w:w="0" w:type="dxa"/>
          <w:right w:w="0" w:type="dxa"/>
        </w:tblCellMar>
      </w:tblPr>
      <w:tblGrid>
        <w:gridCol w:w="3210"/>
        <w:gridCol w:w="3365"/>
      </w:tblGrid>
      <w:tr>
        <w:trPr/>
        <w:tc>
          <w:tcPr>
            <w:tcW w:w="3210" w:type="dxa"/>
            <w:tcBorders/>
            <w:vAlign w:val="center"/>
          </w:tcPr>
          <w:p>
            <w:pPr>
              <w:pStyle w:val="TableContents"/>
              <w:bidi w:val="0"/>
              <w:spacing w:before="0" w:after="283"/>
              <w:jc w:val="left"/>
              <w:rPr/>
            </w:pPr>
            <w:r>
              <w:rPr/>
              <w:drawing>
                <wp:inline distT="0" distB="0" distL="0" distR="0">
                  <wp:extent cx="20288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371475"/>
                          </a:xfrm>
                          <a:prstGeom prst="rect">
                            <a:avLst/>
                          </a:prstGeom>
                        </pic:spPr>
                      </pic:pic>
                    </a:graphicData>
                  </a:graphic>
                </wp:inline>
              </w:drawing>
            </w:r>
          </w:p>
        </w:tc>
        <w:tc>
          <w:tcPr>
            <w:tcW w:w="33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051C2C"/>
                <w:sz w:val="20"/>
              </w:rPr>
            </w:pPr>
            <w:r>
              <w:rPr>
                <w:rFonts w:ascii="Times New Roman;Times;Serif" w:hAnsi="Times New Roman;Times;Serif"/>
                <w:b/>
                <w:i w:val="false"/>
                <w:caps w:val="false"/>
                <w:smallCaps w:val="false"/>
                <w:color w:val="051C2C"/>
                <w:sz w:val="20"/>
              </w:rPr>
              <w:t>Brownstein Hyatt Farber Schreck,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702.382.2101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North City Parkway, Suite 1600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89106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Third Avenue,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Nevada counsel to Gemini Space Station,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for resale, from time to time, by Winklevoss Capital Fund, LLC, a Delaware limited liability company (the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of up to 7,142,857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A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issued and sold pursuant to the Securities Purchase Agreement, dated as of May 14, 2026 (the “</w:t>
      </w:r>
      <w:r>
        <w:rPr>
          <w:rFonts w:ascii="Times New Roman;Times;Serif" w:hAnsi="Times New Roman;Times;Serif"/>
          <w:b w:val="false"/>
          <w:i w:val="false"/>
          <w:caps w:val="false"/>
          <w:smallCaps w:val="false"/>
          <w:sz w:val="20"/>
          <w:u w:val="single"/>
        </w:rPr>
        <w:t>SPA</w:t>
      </w:r>
      <w:r>
        <w:rPr>
          <w:rFonts w:ascii="Times New Roman;Times;Serif" w:hAnsi="Times New Roman;Times;Serif"/>
          <w:b w:val="false"/>
          <w:i w:val="false"/>
          <w:caps w:val="false"/>
          <w:smallCaps w:val="false"/>
          <w:sz w:val="20"/>
        </w:rPr>
        <w:t>”), by and between the Company and the Selling Securityholder, as described in the Company’s Registration Statement on Form S-3 (File No. 333-299242)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including the base prospectus, dated October 14, 2026, contained therein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as supplemented by the prospectus supplement, dated October 14,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each as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This opinion letter is being delivered at your request pursuant to the requirements of Item 601(b)(5) of Regulation S-K under the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are familiar with the proceedings taken and proposed to be taken by the Company in connection with the authorization, issuance, offering and resale of the Shares as contemplated by the SPA and as described in the Registration Statement and the Prospectus. For purposes of this opinion letter, and except to the extent set forth in the opinion below, we have assumed that all such proceedings have been or will be timely completed in the manner presently proposed in the SPA,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SPA, (ii) the Registration Statement and the Prospectus, (iii) the Company’s articles of incorporation and bylaws, each as amended to date, and (iv) such other agreements, instruments, corporate records (including, without limitation, resolutions adopted by the board of directors and any committee thereof and by the stockholders of the Company) and documents, or forms thereof, as we have deemed necessary or appropriate for the purpose of issuing this opinion letter,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drawing>
          <wp:inline distT="0" distB="0" distL="0" distR="0">
            <wp:extent cx="895350"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5350" cy="161925"/>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Gemini Space Station,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in our examination, we have, with your permission, assumed without independent verification, that (i) each agreement, instrument or other document (or form thereof) we have reviewed or which is referenced herein has been duly executed and delivered by the parties thereto to the extent due execution and delivery are prerequisites to the effectiveness thereof; (ii) the statements of fact and all representations and warranties set forth in the documents we have examined are true and correct as to factual matters, in each case as of the date hereof and as of the date or dates of such documents; (iii) each natural person executing a document at all relevant times had sufficient legal capacity to do so; (iv) all documents submitted to us as originals are authentic, the signatures on all documents that we have examined are genuine and all documents submitted to us as certified, conformed, photostatic, facsimile or electronic copies conform to the original document; (v) all corporate records made available to us by the Company, and all public records we have reviewed, are accurate and complete; and (vi) the obligations of each party set forth in the documents we have examined are its valid and binding obligations, enforceable against such party in accordance with their respective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filings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having regard to legal considerations and other information that we deem relevant, we are of the opinion that the Shares have been duly authorized by the Company and are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are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date hereof. No opinion is offered or implied as to any matter, and no inference may be drawn, beyond the strict scope of the specific issues expressly addressed by the opinion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Current Report on Form 8-K being filed on the date hereof and incorporated by reference into the Registration Statement and to the reference to our firm in the Prospectus under the heading “Legal Matters”. In giving this consent, we do not admit that we are within the category of persons whose consent is required under Section 7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Brownstein Hyatt Farber Schreck,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1582</Words>
  <Characters>8365</Characters>
  <CharactersWithSpaces>9968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