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2026 (February 4,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Gemini Space Station, Inc.</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001-42836</w:t>
            </w:r>
          </w:p>
        </w:tc>
        <w:tc>
          <w:tcPr>
            <w:tcW w:w="30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33-3263417</w:t>
            </w:r>
          </w:p>
        </w:tc>
      </w:tr>
      <w:tr>
        <w:trPr>
          <w:trHeight w:val="216"/>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5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46"/>
        </w:trPr>
        <w:tc>
          <w:tcPr>
            <w:tcW w:w="2500" w:type="dxa"/>
            <w:vAlign w:val="bottom"/>
          </w:tcPr>
          <w:p>
            <w:pPr>
              <w:spacing w:after="0"/>
              <w:rPr>
                <w:sz w:val="21"/>
                <w:szCs w:val="21"/>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600 Third Avenue, 2nd Floor</w:t>
            </w:r>
          </w:p>
        </w:tc>
        <w:tc>
          <w:tcPr>
            <w:tcW w:w="3060" w:type="dxa"/>
            <w:vAlign w:val="bottom"/>
          </w:tcPr>
          <w:p>
            <w:pPr>
              <w:spacing w:after="0"/>
              <w:rPr>
                <w:sz w:val="21"/>
                <w:szCs w:val="21"/>
                <w:color w:val="auto"/>
              </w:rPr>
            </w:pPr>
          </w:p>
        </w:tc>
      </w:tr>
      <w:tr>
        <w:trPr>
          <w:trHeight w:val="275"/>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New York, NY 10016</w:t>
            </w:r>
            <w:r>
              <w:rPr>
                <w:rFonts w:ascii="Times New Roman" w:cs="Times New Roman" w:eastAsia="Times New Roman" w:hAnsi="Times New Roman"/>
                <w:sz w:val="23"/>
                <w:szCs w:val="23"/>
                <w:b w:val="1"/>
                <w:bCs w:val="1"/>
                <w:color w:val="auto"/>
                <w:w w:val="97"/>
                <w:vertAlign w:val="superscript"/>
              </w:rPr>
              <w:t>1</w:t>
            </w:r>
          </w:p>
        </w:tc>
        <w:tc>
          <w:tcPr>
            <w:tcW w:w="3060" w:type="dxa"/>
            <w:vAlign w:val="bottom"/>
          </w:tcPr>
          <w:p>
            <w:pPr>
              <w:spacing w:after="0"/>
              <w:rPr>
                <w:sz w:val="23"/>
                <w:szCs w:val="23"/>
                <w:color w:val="auto"/>
              </w:rPr>
            </w:pPr>
          </w:p>
        </w:tc>
      </w:tr>
      <w:tr>
        <w:trPr>
          <w:trHeight w:val="234"/>
        </w:trPr>
        <w:tc>
          <w:tcPr>
            <w:tcW w:w="2500" w:type="dxa"/>
            <w:vAlign w:val="bottom"/>
          </w:tcPr>
          <w:p>
            <w:pPr>
              <w:spacing w:after="0"/>
              <w:rPr>
                <w:sz w:val="20"/>
                <w:szCs w:val="20"/>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60" w:type="dxa"/>
            <w:vAlign w:val="bottom"/>
          </w:tcPr>
          <w:p>
            <w:pPr>
              <w:spacing w:after="0"/>
              <w:rPr>
                <w:sz w:val="20"/>
                <w:szCs w:val="20"/>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(646) 751-4401</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60" w:type="dxa"/>
            <w:vAlign w:val="bottom"/>
          </w:tcPr>
          <w:p>
            <w:pPr>
              <w:spacing w:after="0"/>
              <w:rPr>
                <w:sz w:val="23"/>
                <w:szCs w:val="23"/>
                <w:color w:val="auto"/>
              </w:rPr>
            </w:pPr>
          </w:p>
        </w:tc>
      </w:tr>
      <w:tr>
        <w:trPr>
          <w:trHeight w:val="270"/>
        </w:trPr>
        <w:tc>
          <w:tcPr>
            <w:tcW w:w="250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3060" w:type="dxa"/>
            <w:vAlign w:val="bottom"/>
          </w:tcPr>
          <w:p>
            <w:pPr>
              <w:spacing w:after="0"/>
              <w:rPr>
                <w:sz w:val="23"/>
                <w:szCs w:val="23"/>
                <w:color w:val="auto"/>
              </w:rPr>
            </w:pPr>
          </w:p>
        </w:tc>
      </w:tr>
    </w:tbl>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 per</w:t>
            </w:r>
          </w:p>
        </w:tc>
        <w:tc>
          <w:tcPr>
            <w:tcW w:w="196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GEMI</w:t>
            </w:r>
          </w:p>
        </w:tc>
        <w:tc>
          <w:tcPr>
            <w:tcW w:w="780" w:type="dxa"/>
            <w:vAlign w:val="bottom"/>
          </w:tcPr>
          <w:p>
            <w:pPr>
              <w:spacing w:after="0"/>
              <w:rPr>
                <w:sz w:val="23"/>
                <w:szCs w:val="23"/>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30"/>
        </w:trPr>
        <w:tc>
          <w:tcPr>
            <w:tcW w:w="1200" w:type="dxa"/>
            <w:vAlign w:val="bottom"/>
          </w:tcPr>
          <w:p>
            <w:pPr>
              <w:spacing w:after="0"/>
              <w:rPr>
                <w:sz w:val="11"/>
                <w:szCs w:val="11"/>
                <w:color w:val="auto"/>
              </w:rPr>
            </w:pPr>
          </w:p>
        </w:tc>
        <w:tc>
          <w:tcPr>
            <w:tcW w:w="3380" w:type="dxa"/>
            <w:vAlign w:val="bottom"/>
            <w:gridSpan w:val="2"/>
            <w:vMerge w:val="restart"/>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right"/>
        <w:ind w:right="2200"/>
        <w:spacing w:after="0"/>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12b-2 of the Exchange Act.</w:t>
      </w:r>
    </w:p>
    <w:p>
      <w:pPr>
        <w:spacing w:after="0" w:line="88" w:lineRule="exact"/>
        <w:rPr>
          <w:sz w:val="24"/>
          <w:szCs w:val="24"/>
          <w:color w:val="auto"/>
        </w:rPr>
      </w:pPr>
    </w:p>
    <w:p>
      <w:pPr>
        <w:jc w:val="right"/>
        <w:spacing w:after="0" w:line="207" w:lineRule="exact"/>
        <w:tabs>
          <w:tab w:leader="none" w:pos="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942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p>
      <w:pPr>
        <w:spacing w:after="0" w:line="266" w:lineRule="exact"/>
        <w:rPr>
          <w:sz w:val="24"/>
          <w:szCs w:val="24"/>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We use this address for receiving mail and correspondence to our principal executive office located in 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2.05</w:t>
      </w:r>
      <w:r>
        <w:rPr>
          <w:sz w:val="20"/>
          <w:szCs w:val="20"/>
          <w:color w:val="auto"/>
        </w:rPr>
        <w:tab/>
      </w:r>
      <w:r>
        <w:rPr>
          <w:rFonts w:ascii="Times New Roman" w:cs="Times New Roman" w:eastAsia="Times New Roman" w:hAnsi="Times New Roman"/>
          <w:sz w:val="19"/>
          <w:szCs w:val="19"/>
          <w:b w:val="1"/>
          <w:bCs w:val="1"/>
          <w:color w:val="auto"/>
        </w:rPr>
        <w:t>Costs Associates with Exit or Disposal Activities.</w:t>
      </w:r>
    </w:p>
    <w:p>
      <w:pPr>
        <w:spacing w:after="0" w:line="13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4, 2026, Gemini Space Station, Inc. (“Gemini,” the “Company,” “we,” or “us”) approved a plan to exit and wind down its operations in the United Kingdom, the European Union and other European jurisdictions, and Australia as part of a broader initiative to reduce operating expenses and support the Company’s path to profitability (the “Plan”). The Company’s business will continue operating in the United States and Singapore. The Plan is expected to include a reduction in force of up to 200 global employees, including employees in Europe, the United States, and Singapore, and representing approximately 25% of the Company’s total global workforce as of February 4, 2026. The Company expects the Plan to be substantially completed in the first half of 2026, subject to applicable local law and consultation requirements.</w:t>
      </w:r>
    </w:p>
    <w:p>
      <w:pPr>
        <w:spacing w:after="0" w:line="21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Plan, the Company currently estimates that it will incur pre-tax restructuring and related charges of approximately $11 million, substantially all of which are expected to result in cash expenditures. These charges are expected to consist of employee-related costs, including severance payments, notice pay (where applicable), and employee benefits and related costs, as well as other exit and disposal costs (including, as applicable, facility exit costs, contract termination costs, and professional fees). The Company expects to recognize substantially all of these charges in the first quarter of 2026, subject to the timing of actions taken under the Plan and applicable local law and consultation requirements.</w:t>
      </w:r>
    </w:p>
    <w:p>
      <w:pPr>
        <w:spacing w:after="0" w:line="21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and consultation requirements in various jurisdictions, and actual amounts may differ materially from estimates. The Company may also incur charges and expenditures not currently contemplated due to unanticipated events that may occur in connection with the Plan.</w:t>
      </w:r>
    </w:p>
    <w:p>
      <w:pPr>
        <w:spacing w:after="0" w:line="2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51"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On February 5, 2026, the Company's co-founders, Cameron and Tyler Winklevoss issued a communication discussing the Plan on the Company’s blog, a copy of which is attached to this Current Report on Form 8-K as Exhibit 99.1, and is incorporated herein by reference.</w:t>
      </w:r>
    </w:p>
    <w:p>
      <w:pPr>
        <w:spacing w:after="0" w:line="19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18"/>
          <w:szCs w:val="18"/>
          <w:color w:val="auto"/>
        </w:rPr>
        <w:t>We use our Investor Relations website (investor.gemini.com), our blog (www.gemini.com/blog), press releases, public conference calls and webcasts, and our official social media channels, including our X account (@Gemini) and LinkedIn page, as means of disclosing material non-public information and for complying with our disclosure obligations under Regulation FD. Information disclosed through these channels may be deemed to be material information. Accordingly, we encourage investors, the media, and others to monitor these channels for information about us.</w:t>
      </w:r>
    </w:p>
    <w:p>
      <w:pPr>
        <w:spacing w:after="0" w:line="213"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18"/>
          <w:szCs w:val="18"/>
          <w:color w:val="auto"/>
        </w:rPr>
        <w:t>The information furnished with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5"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forward-looking statements include, but are not limited to, statements regarding the Company’s plans and expectations related to the exit and wind down of its operations in Europe and other jurisdictions and the related reduction in force, including the timing and execution of such actions; the estimated range, nature, and timing of restructuring and related charges and cash expenditures; the expected impact of the restructuring actions on the Company’s operating expenses; and other statements regarding the Company’s future operations, financial condition, and prospects. Forward-looking statements are based on management’s current expectations, assumptions, and projections based on information available at the time the statements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2" w:name="page3"/>
    <w:bookmarkEnd w:id="2"/>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among others: the Company’s ability to successfully execute its business strategy and generate future profitability; the Company’s ability to implement the Plan on the anticipated timeline (or at all); the possibility that the anticipated cost savings may not be realized in the expected amounts or within the expected timeframes; potential adverse impacts on the Company’s business, results of operations, customer relationships, and employee retention; and other risks described from time to time in the Company’s filings with the Securities and Exchange Commission. Except as required by law, we assume no obligation to update these forward-looking statements, or to update the reasons if actual results differ materially from those anticipated in the forward-looking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940" w:type="dxa"/>
            <w:vAlign w:val="bottom"/>
            <w:gridSpan w:val="2"/>
          </w:tcPr>
          <w:p>
            <w:pPr>
              <w:spacing w:after="0"/>
              <w:rPr>
                <w:sz w:val="17"/>
                <w:szCs w:val="17"/>
                <w:color w:val="auto"/>
              </w:rPr>
            </w:pPr>
          </w:p>
        </w:tc>
      </w:tr>
      <w:tr>
        <w:trPr>
          <w:trHeight w:val="263"/>
        </w:trPr>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2"/>
                <w:szCs w:val="22"/>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Blog Post, dated February 5, 2026.</w:t>
            </w:r>
          </w:p>
        </w:tc>
      </w:tr>
      <w:tr>
        <w:trPr>
          <w:trHeight w:val="20"/>
        </w:trPr>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0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7"/>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GEMINI SPACE STATION, INC.</w:t>
      </w:r>
    </w:p>
    <w:p>
      <w:pPr>
        <w:spacing w:after="0" w:line="6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05, 2026</w:t>
      </w:r>
    </w:p>
    <w:p>
      <w:pPr>
        <w:spacing w:after="0" w:line="77"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Dan Chen</w:t>
            </w:r>
          </w:p>
        </w:tc>
        <w:tc>
          <w:tcPr>
            <w:tcW w:w="0" w:type="dxa"/>
            <w:vAlign w:val="bottom"/>
          </w:tcPr>
          <w:p>
            <w:pPr>
              <w:spacing w:after="0"/>
              <w:rPr>
                <w:sz w:val="1"/>
                <w:szCs w:val="1"/>
                <w:color w:val="auto"/>
              </w:rPr>
            </w:pPr>
          </w:p>
        </w:tc>
      </w:tr>
      <w:tr>
        <w:trPr>
          <w:trHeight w:val="41"/>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 Chen</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4" w:name="page5"/>
    <w:bookmarkEnd w:id="4"/>
    <w:p>
      <w:pPr>
        <w:ind w:left="3380"/>
        <w:spacing w:after="0"/>
        <w:rPr>
          <w:sz w:val="20"/>
          <w:szCs w:val="20"/>
          <w:color w:val="auto"/>
        </w:rPr>
      </w:pPr>
      <w:r>
        <w:rPr>
          <w:rFonts w:ascii="Times New Roman" w:cs="Times New Roman" w:eastAsia="Times New Roman" w:hAnsi="Times New Roman"/>
          <w:sz w:val="18"/>
          <w:szCs w:val="18"/>
          <w:b w:val="1"/>
          <w:bCs w:val="1"/>
          <w:color w:val="auto"/>
        </w:rPr>
        <w:t>Gemini 2.0: A Bridge to the Future of Money and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message from our founders on AI, prediction markets, and focus</w:t>
      </w:r>
    </w:p>
    <w:p>
      <w:pPr>
        <w:spacing w:after="0" w:line="25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Gemini 2.0</w:t>
      </w:r>
      <w:r>
        <w:rPr>
          <w:rFonts w:ascii="Times New Roman" w:cs="Times New Roman" w:eastAsia="Times New Roman" w:hAnsi="Times New Roman"/>
          <w:sz w:val="18"/>
          <w:szCs w:val="18"/>
          <w:color w:val="auto"/>
        </w:rPr>
        <w:t>. For over a decade, we’ve been building a bridge to the future of money. This started with a bitcoin exchange that soon expanded to offer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cryptos and products like our crypto rewards credit card. During this time, but really more recently, rapid breakthroughs in AI have begun to dramatically transform the way we work at Gemini. Simultaneously, the advent of prediction markets has begun to dramatically transform marketplaces, including our own. As a result, our mission as well as how we carry it out is evolving and we want to share how this is reshaping our business.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Up until recently, the impact of software engineers could differ by an order of magnitude or 10x. Great engineers would have 10x more impact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engineers. AI has completely changed the game, expanding this paradigm by </w:t>
      </w:r>
      <w:r>
        <w:rPr>
          <w:rFonts w:ascii="Times New Roman" w:cs="Times New Roman" w:eastAsia="Times New Roman" w:hAnsi="Times New Roman"/>
          <w:sz w:val="18"/>
          <w:szCs w:val="18"/>
          <w:i w:val="1"/>
          <w:iCs w:val="1"/>
          <w:color w:val="auto"/>
        </w:rPr>
        <w:t>another</w:t>
      </w:r>
      <w:r>
        <w:rPr>
          <w:rFonts w:ascii="Times New Roman" w:cs="Times New Roman" w:eastAsia="Times New Roman" w:hAnsi="Times New Roman"/>
          <w:sz w:val="18"/>
          <w:szCs w:val="18"/>
          <w:color w:val="auto"/>
        </w:rPr>
        <w:t xml:space="preserve"> order of magnitude (at a minimum), making a 10xer now a 100xer. Critically, we are seeing that this step change holds true for every engineer who adopts AI into their workflows. And it also holds true for non-engineering work. Doing more with less has never been more true or possible and we believe this trend line is only just beginning. How we use AI this week is different from how we used it a month ago, which was different from how we used it 6 months before that. In 2022, our workforce peaked around approximately 1,100. Heading into the end of 2025, we were about 50% of that size. Today, we are reducing our size again by roughly 25%. We believe this is the right size to carry out our mission. A smaller organization, leveraging the right tools, isn’t just more </w:t>
      </w:r>
      <w:r>
        <w:rPr>
          <w:rFonts w:ascii="Times New Roman" w:cs="Times New Roman" w:eastAsia="Times New Roman" w:hAnsi="Times New Roman"/>
          <w:sz w:val="18"/>
          <w:szCs w:val="18"/>
          <w:i w:val="1"/>
          <w:iCs w:val="1"/>
          <w:color w:val="auto"/>
        </w:rPr>
        <w:t>efficient</w:t>
      </w:r>
      <w:r>
        <w:rPr>
          <w:rFonts w:ascii="Times New Roman" w:cs="Times New Roman" w:eastAsia="Times New Roman" w:hAnsi="Times New Roman"/>
          <w:sz w:val="18"/>
          <w:szCs w:val="18"/>
          <w:color w:val="auto"/>
        </w:rPr>
        <w:t xml:space="preserve">, it’s actually </w:t>
      </w:r>
      <w:r>
        <w:rPr>
          <w:rFonts w:ascii="Times New Roman" w:cs="Times New Roman" w:eastAsia="Times New Roman" w:hAnsi="Times New Roman"/>
          <w:sz w:val="18"/>
          <w:szCs w:val="18"/>
          <w:i w:val="1"/>
          <w:iCs w:val="1"/>
          <w:color w:val="auto"/>
        </w:rPr>
        <w:t>faster</w:t>
      </w:r>
      <w:r>
        <w:rPr>
          <w:rFonts w:ascii="Times New Roman" w:cs="Times New Roman" w:eastAsia="Times New Roman" w:hAnsi="Times New Roman"/>
          <w:sz w:val="18"/>
          <w:szCs w:val="18"/>
          <w:color w:val="auto"/>
        </w:rPr>
        <w:t>. We appreciate the hard work and dedication of our parting colleagues and are confident they will have an impact elsewhere. Their contributions will always remain part of the Gemini story.</w:t>
      </w:r>
    </w:p>
    <w:p>
      <w:pPr>
        <w:spacing w:after="0" w:line="21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Prediction Markets</w:t>
      </w:r>
      <w:r>
        <w:rPr>
          <w:rFonts w:ascii="Times New Roman" w:cs="Times New Roman" w:eastAsia="Times New Roman" w:hAnsi="Times New Roman"/>
          <w:sz w:val="18"/>
          <w:szCs w:val="18"/>
          <w:color w:val="auto"/>
        </w:rPr>
        <w:t>. Our thesis is that prediction markets will be as big or bigger than today’s capital markets. They offer a profound and boundless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opportunity to leverage the wisdom of the crowds and power of markets to provide unique insights into the future. Our investment in securing a license to launch our own prediction marketplace positions us as an early mover on this new and exciting frontier. We’re already seeing great traction — with 10,000+ users having traded over $24m since we launched Gemini Predictions in mid-December — and we’re working to bring this truth machine more front-and-center in our experience. If Gemini’s first decade was building a </w:t>
      </w:r>
      <w:r>
        <w:rPr>
          <w:rFonts w:ascii="Times New Roman" w:cs="Times New Roman" w:eastAsia="Times New Roman" w:hAnsi="Times New Roman"/>
          <w:sz w:val="18"/>
          <w:szCs w:val="18"/>
          <w:i w:val="1"/>
          <w:iCs w:val="1"/>
          <w:color w:val="auto"/>
        </w:rPr>
        <w:t>bridge to the future of money</w:t>
      </w:r>
      <w:r>
        <w:rPr>
          <w:rFonts w:ascii="Times New Roman" w:cs="Times New Roman" w:eastAsia="Times New Roman" w:hAnsi="Times New Roman"/>
          <w:sz w:val="18"/>
          <w:szCs w:val="18"/>
          <w:color w:val="auto"/>
        </w:rPr>
        <w:t xml:space="preserve">, today we are building a </w:t>
      </w:r>
      <w:r>
        <w:rPr>
          <w:rFonts w:ascii="Times New Roman" w:cs="Times New Roman" w:eastAsia="Times New Roman" w:hAnsi="Times New Roman"/>
          <w:sz w:val="18"/>
          <w:szCs w:val="18"/>
          <w:i w:val="1"/>
          <w:iCs w:val="1"/>
          <w:color w:val="auto"/>
        </w:rPr>
        <w:t>bridge to the future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money and markets </w:t>
      </w:r>
      <w:r>
        <w:rPr>
          <w:rFonts w:ascii="Times New Roman" w:cs="Times New Roman" w:eastAsia="Times New Roman" w:hAnsi="Times New Roman"/>
          <w:sz w:val="18"/>
          <w:szCs w:val="18"/>
          <w:color w:val="auto"/>
        </w:rPr>
        <w:t>via a super app. Predictions will be the machine within our app to see the future. A truth machine. And in order to have the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bandwidth to succeed here, we will narrow our focus (more on this below).</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Focus</w:t>
      </w:r>
      <w:r>
        <w:rPr>
          <w:rFonts w:ascii="Times New Roman" w:cs="Times New Roman" w:eastAsia="Times New Roman" w:hAnsi="Times New Roman"/>
          <w:sz w:val="18"/>
          <w:szCs w:val="18"/>
          <w:color w:val="auto"/>
        </w:rPr>
        <w:t>. Gemini started in America in 2015. Since then, we expanded our areas of operation to more than 60 countries. These foreign markets have proven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hard to win in for various reasons and we find ourselves stretched thin with a level of organizational and operational complexity that drives our cost structure up and slows us down. And we don’t have the demand in these regions to justify them. The reality is that America has the world’s greatest capital markets and America has always been where it’s at for Gemini. So it's time for Gemini to focus and double down on America. To that end, in addition to reducing the size of our workforce, we will be reducing areas in which we operate by exiting the UK, EU, and Australian markets. We expect this will help reduce our total expenses in line with our headcount reduction and meaningfully accelerate our path to profitability even in the backdrop of the current crypto market. Simplify, consolidate, then accelerate. Onward!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 Tyler</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2026-02-05T08:23:28Z</dcterms:created>
  <dcterms:modified xsi:type="dcterms:W3CDTF">2026-02-05T08:23:28Z</dcterms:modified>
</cp:coreProperties>
</file>