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Durham Jonathan B</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Gemini Space Station,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GEMI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THIRD AVENUE</w:t>
            </w:r>
          </w:p>
        </w:tc>
        <w:tc>
          <w:tcPr>
            <w:tcW w:w="15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42,462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121,727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the Issuer's Non-Employee Director Compensation Policy. Each RSU represents a contingent right to receive one share of the Issuer's Class A common stock upon vesting. The RSUs vest on the earlier of (i) the first anniversary of the grant date and (ii) the day immediately preceding the Issuer's next annual meeting of stockholders following the grant date, subject to the Reporting Person's continued service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Kate Freedman, as</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6014" TargetMode="External"/><Relationship Id="rId14" Type="http://schemas.openxmlformats.org/officeDocument/2006/relationships/hyperlink" Target="http://www.sec.gov/cgi-bin/browse-edgar?action=getcompany&amp;CIK=0002055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2026-06-18T09:40:03Z</dcterms:created>
  <dcterms:modified xsi:type="dcterms:W3CDTF">2026-06-18T09:40:03Z</dcterms:modified>
</cp:coreProperties>
</file>