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17,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Gemini Space Station, Inc.</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001-42836</w:t>
            </w:r>
          </w:p>
        </w:tc>
        <w:tc>
          <w:tcPr>
            <w:tcW w:w="306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33-3263417</w:t>
            </w:r>
          </w:p>
        </w:tc>
      </w:tr>
      <w:tr>
        <w:trPr>
          <w:trHeight w:val="216"/>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5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46"/>
        </w:trPr>
        <w:tc>
          <w:tcPr>
            <w:tcW w:w="2500" w:type="dxa"/>
            <w:vAlign w:val="bottom"/>
          </w:tcPr>
          <w:p>
            <w:pPr>
              <w:spacing w:after="0"/>
              <w:rPr>
                <w:sz w:val="21"/>
                <w:szCs w:val="21"/>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600 Third Avenue, 2nd Floor</w:t>
            </w:r>
          </w:p>
        </w:tc>
        <w:tc>
          <w:tcPr>
            <w:tcW w:w="3060" w:type="dxa"/>
            <w:vAlign w:val="bottom"/>
          </w:tcPr>
          <w:p>
            <w:pPr>
              <w:spacing w:after="0"/>
              <w:rPr>
                <w:sz w:val="21"/>
                <w:szCs w:val="21"/>
                <w:color w:val="auto"/>
              </w:rPr>
            </w:pPr>
          </w:p>
        </w:tc>
      </w:tr>
      <w:tr>
        <w:trPr>
          <w:trHeight w:val="275"/>
        </w:trPr>
        <w:tc>
          <w:tcPr>
            <w:tcW w:w="2500" w:type="dxa"/>
            <w:vAlign w:val="bottom"/>
          </w:tcPr>
          <w:p>
            <w:pPr>
              <w:spacing w:after="0"/>
              <w:rPr>
                <w:sz w:val="23"/>
                <w:szCs w:val="23"/>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New York, NY 10016</w:t>
            </w:r>
            <w:r>
              <w:rPr>
                <w:rFonts w:ascii="Times New Roman" w:cs="Times New Roman" w:eastAsia="Times New Roman" w:hAnsi="Times New Roman"/>
                <w:sz w:val="23"/>
                <w:szCs w:val="23"/>
                <w:b w:val="1"/>
                <w:bCs w:val="1"/>
                <w:color w:val="auto"/>
                <w:w w:val="97"/>
                <w:vertAlign w:val="superscript"/>
              </w:rPr>
              <w:t>1</w:t>
            </w:r>
          </w:p>
        </w:tc>
        <w:tc>
          <w:tcPr>
            <w:tcW w:w="3060" w:type="dxa"/>
            <w:vAlign w:val="bottom"/>
          </w:tcPr>
          <w:p>
            <w:pPr>
              <w:spacing w:after="0"/>
              <w:rPr>
                <w:sz w:val="23"/>
                <w:szCs w:val="23"/>
                <w:color w:val="auto"/>
              </w:rPr>
            </w:pPr>
          </w:p>
        </w:tc>
      </w:tr>
      <w:tr>
        <w:trPr>
          <w:trHeight w:val="234"/>
        </w:trPr>
        <w:tc>
          <w:tcPr>
            <w:tcW w:w="2500" w:type="dxa"/>
            <w:vAlign w:val="bottom"/>
          </w:tcPr>
          <w:p>
            <w:pPr>
              <w:spacing w:after="0"/>
              <w:rPr>
                <w:sz w:val="20"/>
                <w:szCs w:val="20"/>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6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(646) 751-4401</w:t>
            </w:r>
          </w:p>
        </w:tc>
        <w:tc>
          <w:tcPr>
            <w:tcW w:w="3060" w:type="dxa"/>
            <w:vAlign w:val="bottom"/>
          </w:tcPr>
          <w:p>
            <w:pPr>
              <w:spacing w:after="0"/>
              <w:rPr>
                <w:sz w:val="23"/>
                <w:szCs w:val="23"/>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60" w:type="dxa"/>
            <w:vAlign w:val="bottom"/>
          </w:tcPr>
          <w:p>
            <w:pPr>
              <w:spacing w:after="0"/>
              <w:rPr>
                <w:sz w:val="23"/>
                <w:szCs w:val="23"/>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3060" w:type="dxa"/>
            <w:vAlign w:val="bottom"/>
          </w:tcPr>
          <w:p>
            <w:pPr>
              <w:spacing w:after="0"/>
              <w:rPr>
                <w:sz w:val="23"/>
                <w:szCs w:val="23"/>
                <w:color w:val="auto"/>
              </w:rPr>
            </w:pPr>
          </w:p>
        </w:tc>
      </w:tr>
    </w:tbl>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19"/>
                <w:szCs w:val="19"/>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 per</w:t>
            </w:r>
          </w:p>
        </w:tc>
        <w:tc>
          <w:tcPr>
            <w:tcW w:w="196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GEMI</w:t>
            </w:r>
          </w:p>
        </w:tc>
        <w:tc>
          <w:tcPr>
            <w:tcW w:w="780" w:type="dxa"/>
            <w:vAlign w:val="bottom"/>
          </w:tcPr>
          <w:p>
            <w:pPr>
              <w:spacing w:after="0"/>
              <w:rPr>
                <w:sz w:val="23"/>
                <w:szCs w:val="23"/>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30"/>
        </w:trPr>
        <w:tc>
          <w:tcPr>
            <w:tcW w:w="1200" w:type="dxa"/>
            <w:vAlign w:val="bottom"/>
          </w:tcPr>
          <w:p>
            <w:pPr>
              <w:spacing w:after="0"/>
              <w:rPr>
                <w:sz w:val="11"/>
                <w:szCs w:val="11"/>
                <w:color w:val="auto"/>
              </w:rPr>
            </w:pPr>
          </w:p>
        </w:tc>
        <w:tc>
          <w:tcPr>
            <w:tcW w:w="3380" w:type="dxa"/>
            <w:vAlign w:val="bottom"/>
            <w:gridSpan w:val="2"/>
            <w:vMerge w:val="restart"/>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9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jc w:val="right"/>
        <w:ind w:right="2200"/>
        <w:spacing w:after="0"/>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12b-2 of the Exchange Act.</w:t>
      </w:r>
    </w:p>
    <w:p>
      <w:pPr>
        <w:spacing w:after="0" w:line="88" w:lineRule="exact"/>
        <w:rPr>
          <w:sz w:val="24"/>
          <w:szCs w:val="24"/>
          <w:color w:val="auto"/>
        </w:rPr>
      </w:pP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942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p>
      <w:pPr>
        <w:spacing w:after="0" w:line="266" w:lineRule="exact"/>
        <w:rPr>
          <w:sz w:val="24"/>
          <w:szCs w:val="24"/>
          <w:color w:val="auto"/>
        </w:rPr>
      </w:pPr>
    </w:p>
    <w:p>
      <w:pPr>
        <w:ind w:left="120" w:hanging="112"/>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We use this address for receiving mail and correspondence to our principal executive office located in New York, 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Results of Operations for the Year Ended December 31, 2025</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year ended December 31, 2025 of Gemini Space Station, Inc. (“Gemini,” the “Company,” “we,” “our,” or “us”) are not yet available. Set forth below are certain preliminary unaudited estimates of the results of operations that we expect to report for our year ended December 31, 2025, as compared to certain results of operations for the year ended December 31, 2024. Our actual results may differ materially from these estimates due to the completion of our financial closing procedures, final adjustments, and other developments that may arise between now and the time the financial results for our year end are finalized.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preliminary estimates as of and for the year ended December 31, 2025:</w:t>
      </w:r>
    </w:p>
    <w:p>
      <w:pPr>
        <w:spacing w:after="0" w:line="27" w:lineRule="exact"/>
        <w:rPr>
          <w:sz w:val="20"/>
          <w:szCs w:val="20"/>
          <w:color w:val="auto"/>
        </w:rPr>
      </w:pPr>
    </w:p>
    <w:p>
      <w:pPr>
        <w:ind w:left="660" w:right="80" w:hanging="328"/>
        <w:spacing w:after="0" w:line="27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served approximately 600,000 Monthly Transacting Users (“MTUs”), an increase of 17% relative to the number of MTUs we served as of December 31, 2024.</w:t>
      </w:r>
    </w:p>
    <w:p>
      <w:pPr>
        <w:spacing w:after="0" w:line="207" w:lineRule="exact"/>
        <w:rPr>
          <w:rFonts w:ascii="Times New Roman" w:cs="Times New Roman" w:eastAsia="Times New Roman" w:hAnsi="Times New Roman"/>
          <w:sz w:val="18"/>
          <w:szCs w:val="18"/>
          <w:color w:val="auto"/>
        </w:rPr>
      </w:pPr>
    </w:p>
    <w:p>
      <w:pPr>
        <w:ind w:left="660" w:right="2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net revenue is expected to be between $165 million and $175 million as compared to $141 million for the year ended December 31, 2024. The estimated increase in net revenue is primarily attributable to higher services revenue, driven by growth in credit card revenue. Transaction revenue is expected to be between $93 million and $99 million and services revenue is expected to be between $72 million and $76 million.</w:t>
      </w:r>
    </w:p>
    <w:p>
      <w:pPr>
        <w:spacing w:after="0" w:line="212" w:lineRule="exact"/>
        <w:rPr>
          <w:rFonts w:ascii="Times New Roman" w:cs="Times New Roman" w:eastAsia="Times New Roman" w:hAnsi="Times New Roman"/>
          <w:sz w:val="18"/>
          <w:szCs w:val="18"/>
          <w:color w:val="auto"/>
        </w:rPr>
      </w:pPr>
    </w:p>
    <w:p>
      <w:pPr>
        <w:jc w:val="both"/>
        <w:ind w:left="660" w:right="26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we expect to incur total operating expenses of between $520 million and $530 million as compared to $308 million for the year ended December 31, 2024. The estimated increase in operating expenses is primarily due to higher personnel-related costs, including stock-based compensation, and investments in technology, general and administrative expenses and marketing investments to support the Company’s strategic initiatives.</w:t>
      </w:r>
    </w:p>
    <w:p>
      <w:pPr>
        <w:spacing w:after="0" w:line="212" w:lineRule="exact"/>
        <w:rPr>
          <w:rFonts w:ascii="Times New Roman" w:cs="Times New Roman" w:eastAsia="Times New Roman" w:hAnsi="Times New Roman"/>
          <w:sz w:val="18"/>
          <w:szCs w:val="18"/>
          <w:color w:val="auto"/>
        </w:rPr>
      </w:pPr>
    </w:p>
    <w:p>
      <w:pPr>
        <w:ind w:left="660" w:right="120" w:hanging="328"/>
        <w:spacing w:after="0" w:line="27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Adjusted EBITDA is expected to be between $(267) million and $(257) million. This range includes net realized and unrealized losses, which are expected to be between $30 million and $35 million. Adjusted EBITDA is a non-GAAP financial measure - see “Non-GAAP Financial Measure” below for a reconciliation to the most directly comparable GAAP measure.</w:t>
      </w:r>
    </w:p>
    <w:p>
      <w:pPr>
        <w:spacing w:after="0" w:line="209" w:lineRule="exact"/>
        <w:rPr>
          <w:sz w:val="20"/>
          <w:szCs w:val="20"/>
          <w:color w:val="auto"/>
        </w:rPr>
      </w:pPr>
    </w:p>
    <w:p>
      <w:pPr>
        <w:jc w:val="both"/>
        <w:ind w:right="80" w:firstLine="648"/>
        <w:spacing w:after="0" w:line="270" w:lineRule="auto"/>
        <w:rPr>
          <w:sz w:val="20"/>
          <w:szCs w:val="20"/>
          <w:color w:val="auto"/>
        </w:rPr>
      </w:pPr>
      <w:r>
        <w:rPr>
          <w:rFonts w:ascii="Times New Roman" w:cs="Times New Roman" w:eastAsia="Times New Roman" w:hAnsi="Times New Roman"/>
          <w:sz w:val="18"/>
          <w:szCs w:val="18"/>
          <w:color w:val="auto"/>
        </w:rPr>
        <w:t>We define an MTU as any retail or institutional user who has engaged in any revenue-generating activity or whose account otherwise generated revenue for the Company in the trailing thirty days, including transacting on our spot or derivatives exchange, holding a digital asset or fiat balance in a Gemini exchange account that generates revenue for the Company, holding a digital asset balance in a Gemini Custody account, holding a balance in our pooled Staking product, making a transaction or holding a balance on the Gemini Credit Card, or completing a fiat (wire) or digital asset withdrawal from our platform. MTUs also engage in transactions that are non-revenue generating, such as consumers sending and receiving crypto assets between wallets.</w:t>
      </w:r>
    </w:p>
    <w:p>
      <w:pPr>
        <w:spacing w:after="0" w:line="21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provided a range for the preliminary results described above and below primarily because our financial closing procedures for the year ended December 31, 2025 are not yet complete. As a result, there is a possibility that our final results will vary from these preliminary estimates. We currently expect that our final results will be within the ranges described. It is possible, however, that our final results will not be within the ranges we currently estimate. We undertake no obligation to update or supplement the information provided herein until we release our results of operations for the year ended December 31, 2025. Our independent registered public accounting firm has not audited, reviewed, compiled, or performed any procedures with respect to this financial data. Accordingly, our independent registered public accounting firm does not express an opinion or any other form of assurance with respect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1" w:right="419" w:bottom="1440" w:gutter="0" w:footer="0" w:header="0"/>
        </w:sectPr>
      </w:pPr>
    </w:p>
    <w:bookmarkStart w:id="2" w:name="page3"/>
    <w:bookmarkEnd w:id="2"/>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w:t>
      </w:r>
    </w:p>
    <w:p>
      <w:pPr>
        <w:spacing w:after="0" w:line="217"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provision for (benefit from) income taxes, interest expense, depreciation and amortization, stock-based compensation expense, impairment, non- recurring legal contingencies, settlement and related costs, change in fair value on related party convertible notes, change in fair value on related party loans, and unrealized foreign exchange loss (gain). Among other non-cash and non-recurring items, Adjusted EBITDA excludes stock-based compensation expense, which has recently been, and will continue to be for the foreseeable future, a significant recurring expense for our business and an important part of our compensation strategy.</w:t>
      </w:r>
    </w:p>
    <w:p>
      <w:pPr>
        <w:spacing w:after="0" w:line="21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below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207010</wp:posOffset>
            </wp:positionV>
            <wp:extent cx="2065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8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Low</w:t>
            </w: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High</w:t>
            </w:r>
          </w:p>
        </w:tc>
      </w:tr>
      <w:tr>
        <w:trPr>
          <w:trHeight w:val="33"/>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2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6"/>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Non-recurring legal contingencies, settlements, and related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on related party convertible notes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on related party loans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foreign exchange loss (gain)</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33"/>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5066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8"/>
          <w:szCs w:val="18"/>
          <w:color w:val="auto"/>
        </w:rPr>
        <w:t>The information furnished with Item 2.02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pacing w:after="0" w:line="196" w:lineRule="exact"/>
        <w:rPr>
          <w:sz w:val="20"/>
          <w:szCs w:val="20"/>
          <w:color w:val="auto"/>
        </w:rPr>
      </w:pPr>
    </w:p>
    <w:p>
      <w:pPr>
        <w:ind w:right="560"/>
        <w:spacing w:after="0" w:line="301"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1" w:lineRule="exact"/>
        <w:rPr>
          <w:sz w:val="20"/>
          <w:szCs w:val="20"/>
          <w:color w:val="auto"/>
        </w:rPr>
      </w:pPr>
    </w:p>
    <w:p>
      <w:pPr>
        <w:jc w:val="both"/>
        <w:ind w:right="380" w:firstLine="648"/>
        <w:spacing w:after="0" w:line="281" w:lineRule="auto"/>
        <w:rPr>
          <w:sz w:val="20"/>
          <w:szCs w:val="20"/>
          <w:color w:val="auto"/>
        </w:rPr>
      </w:pPr>
      <w:r>
        <w:rPr>
          <w:rFonts w:ascii="Times New Roman" w:cs="Times New Roman" w:eastAsia="Times New Roman" w:hAnsi="Times New Roman"/>
          <w:sz w:val="18"/>
          <w:szCs w:val="18"/>
          <w:color w:val="auto"/>
        </w:rPr>
        <w:t>On February 17, 2026, the Company announced that it will be parting ways with each of Marshall Beard, Chief Operating Officer, Dan Chen, Chief Financial Officer, and Tyler Meade, Chief Legal Officer, each effective as of February 17, 2026 (the “Effective Date”). We expect to enter into a separation agreement with each of these individuals with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ind w:right="40"/>
        <w:spacing w:after="0" w:line="271" w:lineRule="auto"/>
        <w:rPr>
          <w:sz w:val="20"/>
          <w:szCs w:val="20"/>
          <w:color w:val="auto"/>
        </w:rPr>
      </w:pPr>
      <w:r>
        <w:rPr>
          <w:rFonts w:ascii="Times New Roman" w:cs="Times New Roman" w:eastAsia="Times New Roman" w:hAnsi="Times New Roman"/>
          <w:sz w:val="18"/>
          <w:szCs w:val="18"/>
          <w:color w:val="auto"/>
        </w:rPr>
        <w:t>eligibility to provide additional transition services for a limited period of time in exchange for continued base salary and employee benefits for the duration of such period (but not including any additional incentives). In addition, Marshall Beard resigned from his role as a member of the Company’s Board of Directors (the “Board”), effective as of the Effective Date. Mr. Beard’s resignation was not the result of any disagreement between Mr. Beard and the Company on any matter relating to the Company’s operations, policies, or practices.</w:t>
      </w:r>
    </w:p>
    <w:p>
      <w:pPr>
        <w:spacing w:after="0" w:line="213"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Company does not intend to appoint a successor Chief Operating Officer at this time. Many of the duties previously performed by Mr. Beard, including revenue-generating responsibilities, will be assumed by Cameron Winklevoss in addition to his existing responsibilities.</w:t>
      </w:r>
    </w:p>
    <w:p>
      <w:pPr>
        <w:spacing w:after="0" w:line="17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The Board has unanimously appointed Danijela Stojanovic as Interim Chief Financial Officer of the Company, effective as of the Effective Date, which is the date that Dan Chen will cease to be the Company’s Chief Financial Officer. Ms. Stojanovic, 44, has served as the Company’s Chief Accounting Officer since May 2025. Prior to joining the Company, Ms. Stojanovic served in senior finance and accounting leadership roles at Blue Apron Holdings, Inc. from 2015 to 2024, most recently as Senior Vice President, Finance and Accounting. During her tenure she led SEC reporting, technical accounting, equity compensation, and implementation of internal control frameworks. She supported Blue Apron’s initial public offering in 2017, ongoing public company reporting and governance processes, and strategic transactions, including the company’s sale in November 2023. Earlier in her career, Ms. Stojanovic was a manager at PricewaterhouseCoopers in New York where she led audit engagements for public and private companies in accordance with PCAOB standards. She began her career with PricewaterhouseCoopers in Sweden. Ms. Stojanovic is a Certified Public Accountant licensed in the State of New York. In accordance with the Company’s customary practice, the Company will enter into its standard form of indemnification agreement with Ms. Stojanovic, which agreement has previously been filed with the Securities and Exchange Commission. In connection with her appointment as the Company’s Interim Chief Financial Officer, Ms. Stojanovic is eligible for the following compensation, (i) an annual base salary of $450,000 and (ii) a restricted stock unit award of 132,275 shares of the Company’s Class A common stock (the “RSU Award”) to be granted in connection with her appointment, subject to Compensation Committee approval. The RSU Award is expected to vest on quarterly basis over a two-year period, subject to Ms. Stojanovic providing continued services to the Company on each applicable vesting date. There are no arrangements or understandings between Ms. Stojanovic and any other person pursuant to which Ms. Stojanovic was appointed to serve as the Company’s Interim Chief Financial Officer. There are no family relationships between Ms. Stojanovic and any director or executive officer of the Company. Ms. Stojanovic has no direct or indirect material interest in any transaction required to be disclosed pursuant to Item 404(a) of Regulation S-K.</w:t>
      </w:r>
    </w:p>
    <w:p>
      <w:pPr>
        <w:spacing w:after="0" w:line="2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unanimously appointed Kate Freedman as Interim General Counsel of the Company, effective as of the Effective Date, which is the date that Tyler Meade will cease to be the Company’s Chief Legal Officer. Ms. Freedman, 43, has served as the Company’s Associate General Counsel and Corporate Secretary since November 2025. From 2024 to November 2025, she served as the Company’s Senior Corporate Counsel. Prior to joining the Company in 2024, Ms. Freedman served as Assistant General Counsel of Stash Financial, Inc., an AI-enabled digital financial services company. In accordance with the Company’s customary practice, the Company will enter into its standard form of indemnification agreement with Ms. Freedman, which agreement has previously been filed with the Securities and Exchange Commission.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5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Exchange Act. All statements other than statements of historical fact are forward-looking statements. These forward-looking statements include, but are not limited to, statements regarding the Company’s preliminary estimated results of operations for the year ended December 31, 2025; management changes, including the departure of certain executive officers and related separation agreements and the appointment of interim officers; and other statements regarding the Company’s future operations, financial condition, and prospects. Forward-looking statements are based on management’s current expectations, assumptions, and projections based on information available at the time the statements are made.</w:t>
      </w:r>
    </w:p>
    <w:p>
      <w:pPr>
        <w:spacing w:after="0" w:line="2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among others: the Company’s ability to successfully execute its business strategy and generate future profitability;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spacing w:after="0" w:line="270" w:lineRule="auto"/>
        <w:rPr>
          <w:sz w:val="20"/>
          <w:szCs w:val="20"/>
          <w:color w:val="auto"/>
        </w:rPr>
      </w:pPr>
      <w:r>
        <w:rPr>
          <w:rFonts w:ascii="Times New Roman" w:cs="Times New Roman" w:eastAsia="Times New Roman" w:hAnsi="Times New Roman"/>
          <w:sz w:val="18"/>
          <w:szCs w:val="18"/>
          <w:color w:val="auto"/>
        </w:rPr>
        <w:t>completion of its financial closing procedures for the year ended December 31, 2025; the Company’s ability to enter into acceptable separation agreements with former executive officers; potential adverse impacts on the Company’s business, results of operations, customer relationships, and employee retention; and other risks described from time to time in the Company’s filings with the Securities and Exchange Commission. Except as required by law, we assume no obligation to update these forward-looking statements, or to update the reasons if actual results differ materially from those anticipated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GEMINI SPACE STATION, INC.</w:t>
      </w:r>
    </w:p>
    <w:p>
      <w:pPr>
        <w:spacing w:after="0" w:line="6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17, 2026</w:t>
      </w:r>
    </w:p>
    <w:p>
      <w:pPr>
        <w:spacing w:after="0" w:line="77"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Tyler Winklevoss</w:t>
            </w:r>
          </w:p>
        </w:tc>
        <w:tc>
          <w:tcPr>
            <w:tcW w:w="0" w:type="dxa"/>
            <w:vAlign w:val="bottom"/>
          </w:tcPr>
          <w:p>
            <w:pPr>
              <w:spacing w:after="0"/>
              <w:rPr>
                <w:sz w:val="1"/>
                <w:szCs w:val="1"/>
                <w:color w:val="auto"/>
              </w:rPr>
            </w:pPr>
          </w:p>
        </w:tc>
      </w:tr>
      <w:tr>
        <w:trPr>
          <w:trHeight w:val="41"/>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Tyler Winklevoss</w:t>
            </w:r>
          </w:p>
        </w:tc>
        <w:tc>
          <w:tcPr>
            <w:tcW w:w="0" w:type="dxa"/>
            <w:vAlign w:val="bottom"/>
          </w:tcPr>
          <w:p>
            <w:pPr>
              <w:spacing w:after="0"/>
              <w:rPr>
                <w:sz w:val="1"/>
                <w:szCs w:val="1"/>
                <w:color w:val="auto"/>
              </w:rPr>
            </w:pP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2026-02-17T08:28:42Z</dcterms:created>
  <dcterms:modified xsi:type="dcterms:W3CDTF">2026-02-17T08:28:42Z</dcterms:modified>
</cp:coreProperties>
</file>