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6033-1_s3.htm"/>
        <w:bookmarkStart w:id="1" w:name="kstm26260331_s3"/>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2">
                <wp:simplePos x="0" y="0"/>
                <wp:positionH relativeFrom="page">
                  <wp:posOffset>617855</wp:posOffset>
                </wp:positionH>
                <wp:positionV relativeFrom="page">
                  <wp:posOffset>9383395</wp:posOffset>
                </wp:positionV>
                <wp:extent cx="7560310" cy="381000"/>
                <wp:effectExtent l="0" t="0" r="0" b="0"/>
                <wp:wrapNone/>
                <wp:docPr id="1" name="Frame7"/>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We may not sell the securities until the Registration Statement filed with the Securities and Exchange Commission is effective. This prospectus is not an offer to sell these securities and is not soliciting an offer to buy these securities in any state or jurisdiction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We may not sell the securities until the Registration Statement filed with the Securities and Exchange Commission is effective. This prospectus is not an offer to sell these securities and is not soliciting an offer to buy these securities in any state or jurisdiction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lineRule="atLeast" w:line="220" w:before="557" w:after="437"/>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As filed with the Securities and Exchange Commission on October 1, 2026.</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20" w:before="34" w:after="283"/>
        <w:jc w:val="righ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No. 333-     </w:t>
      </w:r>
      <w:r>
        <w:rPr>
          <w:rFonts w:ascii="Times New Roman;Times;serif" w:hAnsi="Times New Roman;Times;serif"/>
          <w:b/>
          <w:i w:val="false"/>
          <w:caps w:val="false"/>
          <w:smallCaps w:val="false"/>
          <w:color w:val="000000"/>
          <w:sz w:val="18"/>
        </w:rPr>
        <w:t>​</w:t>
      </w:r>
    </w:p>
    <w:p>
      <w:pPr>
        <w:pStyle w:val="TextBody"/>
        <w:bidi w:val="0"/>
        <w:spacing w:before="44"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4"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90" w:before="74"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UNITED STATES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SECURITIES AND EXCHANGE COMMISSION</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4"/>
          <w:sz w:val="18"/>
        </w:rPr>
        <w:t>Washington, D.C. 20549</w:t>
      </w:r>
      <w:r>
        <w:rPr>
          <w:rFonts w:ascii="Times New Roman;Times;serif" w:hAnsi="Times New Roman;Times;serif"/>
          <w:b/>
          <w:i w:val="false"/>
          <w:caps w:val="false"/>
          <w:smallCaps w:val="false"/>
          <w:color w:val="000000"/>
          <w:spacing w:val="6"/>
          <w:sz w:val="28"/>
        </w:rPr>
        <w:t xml:space="preserve"> </w:t>
      </w:r>
    </w:p>
    <w:p>
      <w:pPr>
        <w:pStyle w:val="TextBody"/>
        <w:bidi w:val="0"/>
        <w:spacing w:before="84"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00" w:before="94"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FORM S-3</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190" w:before="4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STATEMENT</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UNDER</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THE SECURITIES ACT OF 1933</w:t>
      </w:r>
      <w:r>
        <w:rPr>
          <w:rFonts w:ascii="Times New Roman;Times;serif" w:hAnsi="Times New Roman;Times;serif"/>
          <w:b/>
          <w:i w:val="false"/>
          <w:caps w:val="false"/>
          <w:smallCaps w:val="false"/>
          <w:color w:val="000000"/>
          <w:spacing w:val="4"/>
          <w:sz w:val="18"/>
        </w:rPr>
        <w:t xml:space="preserve"> </w:t>
      </w:r>
    </w:p>
    <w:p>
      <w:pPr>
        <w:pStyle w:val="TextBody"/>
        <w:bidi w:val="0"/>
        <w:spacing w:before="104"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54" w:after="283"/>
        <w:jc w:val="center"/>
        <w:rPr>
          <w:rFonts w:ascii="Times New Roman;Times;serif" w:hAnsi="Times New Roman;Times;serif"/>
          <w:b w:val="false"/>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Gemini Space Station, Inc. </w:t>
      </w:r>
      <w:r>
        <w:rPr>
          <w:rFonts w:ascii="Times New Roman;Times;serif" w:hAnsi="Times New Roman;Times;serif"/>
          <w:b w:val="false"/>
          <w:i w:val="false"/>
          <w:caps w:val="false"/>
          <w:smallCaps w:val="false"/>
          <w:color w:val="000000"/>
          <w:sz w:val="28"/>
        </w:rPr>
        <w:br/>
      </w:r>
      <w:r>
        <w:rPr>
          <w:rFonts w:ascii="Times New Roman;Times;serif" w:hAnsi="Times New Roman;Times;serif"/>
          <w:b w:val="false"/>
          <w:i w:val="false"/>
          <w:caps w:val="false"/>
          <w:smallCaps w:val="false"/>
          <w:color w:val="000000"/>
          <w:spacing w:val="3"/>
          <w:sz w:val="16"/>
        </w:rPr>
        <w:t>(Exact name of registrant as specified in its charter)</w:t>
      </w:r>
      <w:r>
        <w:rPr>
          <w:rFonts w:ascii="Times New Roman;Times;serif" w:hAnsi="Times New Roman;Times;serif"/>
          <w:b w:val="false"/>
          <w:i w:val="false"/>
          <w:caps w:val="false"/>
          <w:smallCaps w:val="false"/>
          <w:color w:val="000000"/>
          <w:spacing w:val="6"/>
          <w:sz w:val="28"/>
        </w:rPr>
        <w:t xml:space="preserve"> </w:t>
      </w:r>
    </w:p>
    <w:p>
      <w:pPr>
        <w:pStyle w:val="TextBody"/>
        <w:bidi w:val="0"/>
        <w:spacing w:before="144" w:after="283"/>
        <w:jc w:val="center"/>
        <w:rPr>
          <w:caps w:val="false"/>
          <w:smallCaps w:val="false"/>
          <w:color w:val="000000"/>
          <w:bdr w:val="single" w:sz="8" w:space="1" w:color="000000"/>
        </w:rPr>
      </w:pPr>
      <w:r>
        <w:rPr>
          <w:caps w:val="false"/>
          <w:smallCaps w:val="false"/>
          <w:color w:val="000000"/>
          <w:bdr w:val="single" w:sz="8" w:space="1" w:color="000000"/>
        </w:rPr>
        <w:t>​</w:t>
      </w:r>
    </w:p>
    <w:tbl>
      <w:tblPr>
        <w:tblW w:w="8034" w:type="dxa"/>
        <w:jc w:val="left"/>
        <w:tblInd w:w="540" w:type="dxa"/>
        <w:tblLayout w:type="fixed"/>
        <w:tblCellMar>
          <w:top w:w="0" w:type="dxa"/>
          <w:left w:w="0" w:type="dxa"/>
          <w:bottom w:w="0" w:type="dxa"/>
          <w:right w:w="0" w:type="dxa"/>
        </w:tblCellMar>
      </w:tblPr>
      <w:tblGrid>
        <w:gridCol w:w="124"/>
        <w:gridCol w:w="4459"/>
        <w:gridCol w:w="109"/>
        <w:gridCol w:w="109"/>
        <w:gridCol w:w="3079"/>
        <w:gridCol w:w="154"/>
      </w:tblGrid>
      <w:tr>
        <w:trPr/>
        <w:tc>
          <w:tcPr>
            <w:tcW w:w="124" w:type="dxa"/>
            <w:tcBorders/>
            <w:vAlign w:val="center"/>
          </w:tcPr>
          <w:p>
            <w:pPr>
              <w:pStyle w:val="TableContents"/>
              <w:bidi w:val="0"/>
              <w:spacing w:before="0" w:after="283"/>
              <w:jc w:val="left"/>
              <w:rPr/>
            </w:pPr>
            <w:r>
              <w:rPr/>
              <w:t>​</w:t>
            </w:r>
          </w:p>
        </w:tc>
        <w:tc>
          <w:tcPr>
            <w:tcW w:w="4459" w:type="dxa"/>
            <w:tcBorders/>
            <w:vAlign w:val="center"/>
          </w:tcPr>
          <w:p>
            <w:pPr>
              <w:pStyle w:val="TableContents"/>
              <w:bidi w:val="0"/>
              <w:spacing w:before="0" w:after="0"/>
              <w:jc w:val="center"/>
              <w:rPr>
                <w:b/>
                <w:spacing w:val="-4"/>
              </w:rPr>
            </w:pPr>
            <w:r>
              <w:rPr>
                <w:b/>
                <w:spacing w:val="-4"/>
              </w:rPr>
              <w:t xml:space="preserve">Nevada </w:t>
            </w:r>
          </w:p>
          <w:p>
            <w:pPr>
              <w:pStyle w:val="TableContents"/>
              <w:bidi w:val="0"/>
              <w:spacing w:before="36" w:after="283"/>
              <w:jc w:val="center"/>
              <w:rPr>
                <w:sz w:val="16"/>
              </w:rPr>
            </w:pPr>
            <w:r>
              <w:rPr>
                <w:spacing w:val="3"/>
                <w:sz w:val="16"/>
              </w:rPr>
              <w:t>(State or other jurisdiction of incorporation or organization)</w:t>
            </w:r>
            <w:r>
              <w:rPr>
                <w:sz w:val="1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79" w:type="dxa"/>
            <w:tcBorders/>
            <w:vAlign w:val="center"/>
          </w:tcPr>
          <w:p>
            <w:pPr>
              <w:pStyle w:val="TableContents"/>
              <w:bidi w:val="0"/>
              <w:spacing w:before="0" w:after="0"/>
              <w:jc w:val="center"/>
              <w:rPr>
                <w:b/>
              </w:rPr>
            </w:pPr>
            <w:r>
              <w:rPr>
                <w:b/>
                <w:spacing w:val="-4"/>
              </w:rPr>
              <w:t>33-3263417</w:t>
            </w:r>
            <w:r>
              <w:rPr>
                <w:b/>
              </w:rPr>
              <w:t xml:space="preserve"> </w:t>
            </w:r>
          </w:p>
          <w:p>
            <w:pPr>
              <w:pStyle w:val="TableContents"/>
              <w:bidi w:val="0"/>
              <w:spacing w:before="0" w:after="0"/>
              <w:jc w:val="center"/>
              <w:rPr>
                <w:sz w:val="16"/>
              </w:rPr>
            </w:pPr>
            <w:r>
              <w:rPr>
                <w:spacing w:val="3"/>
                <w:sz w:val="16"/>
              </w:rPr>
              <w:t>(I.R.S. Employer Identification Number)</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90" w:before="194" w:after="283"/>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600 Third Avenue, 2nd Floor</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New York, NY 10016</w:t>
      </w:r>
      <w:r>
        <w:rPr>
          <w:rFonts w:ascii="Times New Roman;Times;serif" w:hAnsi="Times New Roman;Times;serif"/>
          <w:b/>
          <w:i w:val="false"/>
          <w:caps w:val="false"/>
          <w:smallCaps w:val="false"/>
          <w:color w:val="000000"/>
          <w:spacing w:val="-3"/>
          <w:sz w:val="14"/>
        </w:rPr>
        <w:t>1</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 xml:space="preserve">(646) 751-4401 </w:t>
      </w:r>
    </w:p>
    <w:p>
      <w:pPr>
        <w:pStyle w:val="TextBody"/>
        <w:bidi w:val="0"/>
        <w:spacing w:lineRule="atLeast" w:line="180" w:before="14"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(Address, including zip code, and telephone number, including area code, of registrant’s principal executive offices)</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before="104"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94"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CT Corporation System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701 S Carson St, Ste 200</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Carson City, Nevada 89701</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 xml:space="preserve">(888) 751-4401 </w:t>
      </w:r>
    </w:p>
    <w:p>
      <w:pPr>
        <w:pStyle w:val="TextBody"/>
        <w:bidi w:val="0"/>
        <w:spacing w:lineRule="atLeast" w:line="180" w:before="14"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address, including zip code, and telephone number, including area code, of agent for service)</w:t>
      </w:r>
      <w:r>
        <w:rPr>
          <w:rFonts w:ascii="Times New Roman;Times;serif" w:hAnsi="Times New Roman;Times;serif"/>
          <w:b w:val="false"/>
          <w:i w:val="false"/>
          <w:caps w:val="false"/>
          <w:smallCaps w:val="false"/>
          <w:color w:val="000000"/>
          <w:sz w:val="16"/>
        </w:rPr>
        <w:t xml:space="preserve"> </w:t>
      </w:r>
    </w:p>
    <w:p>
      <w:pPr>
        <w:pStyle w:val="TextBody"/>
        <w:bidi w:val="0"/>
        <w:spacing w:before="104"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94" w:after="283"/>
        <w:jc w:val="center"/>
        <w:rPr>
          <w:rFonts w:ascii="Times New Roman;Times;serif" w:hAnsi="Times New Roman;Times;serif"/>
          <w:b/>
          <w:i/>
          <w:caps w:val="false"/>
          <w:smallCaps w:val="false"/>
          <w:color w:val="000000"/>
          <w:sz w:val="18"/>
        </w:rPr>
      </w:pPr>
      <w:r>
        <w:rPr>
          <w:rFonts w:ascii="Times New Roman;Times;serif" w:hAnsi="Times New Roman;Times;serif"/>
          <w:b/>
          <w:i/>
          <w:caps w:val="false"/>
          <w:smallCaps w:val="false"/>
          <w:color w:val="000000"/>
          <w:spacing w:val="-4"/>
          <w:sz w:val="18"/>
        </w:rPr>
        <w:t>Copy to:</w:t>
      </w:r>
      <w:r>
        <w:rPr>
          <w:rFonts w:ascii="Times New Roman;Times;serif" w:hAnsi="Times New Roman;Times;serif"/>
          <w:b/>
          <w:i/>
          <w:caps w:val="false"/>
          <w:smallCaps w:val="false"/>
          <w:color w:val="000000"/>
          <w:spacing w:val="4"/>
          <w:sz w:val="18"/>
        </w:rPr>
        <w:t xml:space="preserve"> </w:t>
      </w:r>
    </w:p>
    <w:p>
      <w:pPr>
        <w:pStyle w:val="TextBody"/>
        <w:bidi w:val="0"/>
        <w:spacing w:lineRule="atLeast" w:line="190" w:before="4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Ryan J. Dzierniejko</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John Zelenbaba</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Skadden, Arps, Slate, Meagher &amp; Flom LLP</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One Manhattan West</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New York, NY 10001</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(212) 735-3712</w:t>
      </w:r>
      <w:r>
        <w:rPr>
          <w:rFonts w:ascii="Times New Roman;Times;serif" w:hAnsi="Times New Roman;Times;serif"/>
          <w:b/>
          <w:i w:val="false"/>
          <w:caps w:val="false"/>
          <w:smallCaps w:val="false"/>
          <w:color w:val="000000"/>
          <w:spacing w:val="4"/>
          <w:sz w:val="18"/>
        </w:rPr>
        <w:t xml:space="preserve"> </w:t>
      </w:r>
    </w:p>
    <w:p>
      <w:pPr>
        <w:pStyle w:val="TextBody"/>
        <w:bidi w:val="0"/>
        <w:spacing w:before="104"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94"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From time to time after this registration statement becomes effective</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(Approximate date of commencement of proposed sale to the public)</w:t>
      </w:r>
      <w:r>
        <w:rPr>
          <w:rFonts w:ascii="Times New Roman;Times;serif" w:hAnsi="Times New Roman;Times;serif"/>
          <w:b/>
          <w:i w:val="false"/>
          <w:caps w:val="false"/>
          <w:smallCaps w:val="false"/>
          <w:color w:val="000000"/>
          <w:spacing w:val="4"/>
          <w:sz w:val="18"/>
        </w:rPr>
        <w:t xml:space="preserve"> </w:t>
      </w:r>
    </w:p>
    <w:p>
      <w:pPr>
        <w:pStyle w:val="TextBody"/>
        <w:bidi w:val="0"/>
        <w:spacing w:before="104"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94"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the only securities being registered on this Form are being offered pursuant to dividend or interest reinvestment plans, please check the following box. ☐ </w:t>
      </w:r>
    </w:p>
    <w:p>
      <w:pPr>
        <w:pStyle w:val="TextBody"/>
        <w:bidi w:val="0"/>
        <w:spacing w:lineRule="atLeast" w:line="190" w:before="4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lineRule="atLeast" w:line="190" w:before="4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190" w:before="4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190" w:before="4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lineRule="atLeast" w:line="190" w:before="4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lineRule="atLeast" w:line="190" w:before="4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 </w:t>
      </w:r>
    </w:p>
    <w:tbl>
      <w:tblPr>
        <w:tblW w:w="5948" w:type="dxa"/>
        <w:jc w:val="left"/>
        <w:tblInd w:w="540" w:type="dxa"/>
        <w:tblLayout w:type="fixed"/>
        <w:tblCellMar>
          <w:top w:w="0" w:type="dxa"/>
          <w:left w:w="0" w:type="dxa"/>
          <w:bottom w:w="0" w:type="dxa"/>
          <w:right w:w="0" w:type="dxa"/>
        </w:tblCellMar>
      </w:tblPr>
      <w:tblGrid>
        <w:gridCol w:w="124"/>
        <w:gridCol w:w="2536"/>
        <w:gridCol w:w="109"/>
        <w:gridCol w:w="109"/>
        <w:gridCol w:w="2916"/>
        <w:gridCol w:w="154"/>
      </w:tblGrid>
      <w:tr>
        <w:trPr/>
        <w:tc>
          <w:tcPr>
            <w:tcW w:w="124" w:type="dxa"/>
            <w:tcBorders/>
            <w:vAlign w:val="center"/>
          </w:tcPr>
          <w:p>
            <w:pPr>
              <w:pStyle w:val="TableContents"/>
              <w:bidi w:val="0"/>
              <w:spacing w:before="0" w:after="283"/>
              <w:jc w:val="left"/>
              <w:rPr/>
            </w:pPr>
            <w:r>
              <w:rPr/>
              <w:t>​</w:t>
            </w:r>
          </w:p>
        </w:tc>
        <w:tc>
          <w:tcPr>
            <w:tcW w:w="2536" w:type="dxa"/>
            <w:tcBorders/>
            <w:vAlign w:val="center"/>
          </w:tcPr>
          <w:p>
            <w:pPr>
              <w:pStyle w:val="TableContents"/>
              <w:bidi w:val="0"/>
              <w:spacing w:lineRule="atLeast" w:line="180" w:before="0" w:after="0"/>
              <w:ind w:left="2160" w:right="0" w:hanging="0"/>
              <w:jc w:val="left"/>
              <w:rPr>
                <w:spacing w:val="4"/>
              </w:rPr>
            </w:pPr>
            <w:r>
              <w:rPr>
                <w:spacing w:val="4"/>
              </w:rPr>
              <w:t xml:space="preserve">☐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371600" cy="525780"/>
                      <wp:effectExtent l="0" t="0" r="0" b="0"/>
                      <wp:wrapSquare wrapText="right"/>
                      <wp:docPr id="2" name="Frame1"/>
                      <a:graphic xmlns:a="http://schemas.openxmlformats.org/drawingml/2006/main">
                        <a:graphicData uri="http://schemas.microsoft.com/office/word/2010/wordprocessingShape">
                          <wps:wsp>
                            <wps:cNvSpPr txBox="1"/>
                            <wps:spPr>
                              <a:xfrm>
                                <a:off x="0" y="0"/>
                                <a:ext cx="1371600" cy="525780"/>
                              </a:xfrm>
                              <a:prstGeom prst="rect"/>
                              <a:solidFill>
                                <a:srgbClr val="FFFFFF"/>
                              </a:solidFill>
                            </wps:spPr>
                            <wps:txbx>
                              <w:txbxContent>
                                <w:p>
                                  <w:pPr>
                                    <w:pStyle w:val="TextBody"/>
                                    <w:bidi w:val="0"/>
                                    <w:spacing w:lineRule="atLeast" w:line="180" w:before="0" w:after="283"/>
                                    <w:jc w:val="left"/>
                                    <w:rPr/>
                                  </w:pPr>
                                  <w:r>
                                    <w:rPr>
                                      <w:spacing w:val="4"/>
                                    </w:rPr>
                                    <w:t>Large accelerated filer</w:t>
                                  </w:r>
                                  <w:r>
                                    <w:rPr/>
                                    <w:t xml:space="preserve"> </w:t>
                                    <w:br/>
                                  </w:r>
                                </w:p>
                              </w:txbxContent>
                            </wps:txbx>
                            <wps:bodyPr anchor="t" lIns="0" tIns="0" rIns="0" bIns="0">
                              <a:noAutofit/>
                            </wps:bodyPr>
                          </wps:wsp>
                        </a:graphicData>
                      </a:graphic>
                    </wp:anchor>
                  </w:drawing>
                </mc:Choice>
                <mc:Fallback>
                  <w:pict>
                    <v:rect style="position:absolute;rotation:-0;width:10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Large 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16" w:type="dxa"/>
            <w:tcBorders/>
            <w:vAlign w:val="center"/>
          </w:tcPr>
          <w:p>
            <w:pPr>
              <w:pStyle w:val="TableContents"/>
              <w:bidi w:val="0"/>
              <w:spacing w:lineRule="atLeast" w:line="180" w:before="0" w:after="0"/>
              <w:ind w:left="2540" w:right="0" w:hanging="0"/>
              <w:jc w:val="left"/>
              <w:rPr>
                <w:spacing w:val="4"/>
              </w:rPr>
            </w:pPr>
            <w:r>
              <w:rPr>
                <w:spacing w:val="4"/>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6129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612900" cy="350520"/>
                              </a:xfrm>
                              <a:prstGeom prst="rect"/>
                              <a:solidFill>
                                <a:srgbClr val="FFFFFF"/>
                              </a:solidFill>
                            </wps:spPr>
                            <wps:txbx>
                              <w:txbxContent>
                                <w:p>
                                  <w:pPr>
                                    <w:pStyle w:val="TextBody"/>
                                    <w:bidi w:val="0"/>
                                    <w:spacing w:lineRule="atLeast" w:line="180" w:before="0" w:after="283"/>
                                    <w:jc w:val="left"/>
                                    <w:rPr/>
                                  </w:pPr>
                                  <w:r>
                                    <w:rPr>
                                      <w:spacing w:val="4"/>
                                    </w:rPr>
                                    <w:t>Accelerated filer</w:t>
                                  </w:r>
                                  <w:r>
                                    <w:rPr/>
                                    <w:t xml:space="preserve"> </w:t>
                                    <w:br/>
                                  </w:r>
                                </w:p>
                              </w:txbxContent>
                            </wps:txbx>
                            <wps:bodyPr anchor="t" lIns="0" tIns="0" rIns="0" bIns="0">
                              <a:noAutofit/>
                            </wps:bodyPr>
                          </wps:wsp>
                        </a:graphicData>
                      </a:graphic>
                    </wp:anchor>
                  </w:drawing>
                </mc:Choice>
                <mc:Fallback>
                  <w:pict>
                    <v:rect style="position:absolute;rotation:-0;width:127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536" w:type="dxa"/>
            <w:tcBorders/>
            <w:vAlign w:val="center"/>
          </w:tcPr>
          <w:p>
            <w:pPr>
              <w:pStyle w:val="TableContents"/>
              <w:bidi w:val="0"/>
              <w:spacing w:lineRule="atLeast" w:line="180" w:before="0" w:after="0"/>
              <w:ind w:left="2160" w:right="0" w:hanging="0"/>
              <w:jc w:val="left"/>
              <w:rPr>
                <w:spacing w:val="4"/>
              </w:rPr>
            </w:pPr>
            <w:r>
              <w:rPr>
                <w:spacing w:val="4"/>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371600" cy="525780"/>
                      <wp:effectExtent l="0" t="0" r="0" b="0"/>
                      <wp:wrapSquare wrapText="right"/>
                      <wp:docPr id="4" name="Frame3"/>
                      <a:graphic xmlns:a="http://schemas.openxmlformats.org/drawingml/2006/main">
                        <a:graphicData uri="http://schemas.microsoft.com/office/word/2010/wordprocessingShape">
                          <wps:wsp>
                            <wps:cNvSpPr txBox="1"/>
                            <wps:spPr>
                              <a:xfrm>
                                <a:off x="0" y="0"/>
                                <a:ext cx="1371600" cy="525780"/>
                              </a:xfrm>
                              <a:prstGeom prst="rect"/>
                              <a:solidFill>
                                <a:srgbClr val="FFFFFF"/>
                              </a:solidFill>
                            </wps:spPr>
                            <wps:txbx>
                              <w:txbxContent>
                                <w:p>
                                  <w:pPr>
                                    <w:pStyle w:val="TextBody"/>
                                    <w:bidi w:val="0"/>
                                    <w:spacing w:lineRule="atLeast" w:line="180" w:before="0" w:after="283"/>
                                    <w:jc w:val="left"/>
                                    <w:rPr/>
                                  </w:pPr>
                                  <w:r>
                                    <w:rPr>
                                      <w:spacing w:val="4"/>
                                    </w:rPr>
                                    <w:t>Non-accelerated filer</w:t>
                                  </w:r>
                                  <w:r>
                                    <w:rPr/>
                                    <w:t xml:space="preserve"> </w:t>
                                    <w:br/>
                                  </w:r>
                                </w:p>
                              </w:txbxContent>
                            </wps:txbx>
                            <wps:bodyPr anchor="t" lIns="0" tIns="0" rIns="0" bIns="0">
                              <a:noAutofit/>
                            </wps:bodyPr>
                          </wps:wsp>
                        </a:graphicData>
                      </a:graphic>
                    </wp:anchor>
                  </w:drawing>
                </mc:Choice>
                <mc:Fallback>
                  <w:pict>
                    <v:rect style="position:absolute;rotation:-0;width:10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Non-accelerated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16" w:type="dxa"/>
            <w:tcBorders/>
            <w:vAlign w:val="center"/>
          </w:tcPr>
          <w:p>
            <w:pPr>
              <w:pStyle w:val="TableContents"/>
              <w:bidi w:val="0"/>
              <w:spacing w:lineRule="atLeast" w:line="180" w:before="0" w:after="0"/>
              <w:ind w:left="2540" w:right="0" w:hanging="0"/>
              <w:jc w:val="left"/>
              <w:rPr>
                <w:spacing w:val="4"/>
              </w:rPr>
            </w:pPr>
            <w:r>
              <w:rPr>
                <w:spacing w:val="4"/>
              </w:rPr>
              <w:t xml:space="preserve">☐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612900" cy="525780"/>
                      <wp:effectExtent l="0" t="0" r="0" b="0"/>
                      <wp:wrapSquare wrapText="right"/>
                      <wp:docPr id="5" name="Frame4"/>
                      <a:graphic xmlns:a="http://schemas.openxmlformats.org/drawingml/2006/main">
                        <a:graphicData uri="http://schemas.microsoft.com/office/word/2010/wordprocessingShape">
                          <wps:wsp>
                            <wps:cNvSpPr txBox="1"/>
                            <wps:spPr>
                              <a:xfrm>
                                <a:off x="0" y="0"/>
                                <a:ext cx="1612900" cy="525780"/>
                              </a:xfrm>
                              <a:prstGeom prst="rect"/>
                              <a:solidFill>
                                <a:srgbClr val="FFFFFF"/>
                              </a:solidFill>
                            </wps:spPr>
                            <wps:txbx>
                              <w:txbxContent>
                                <w:p>
                                  <w:pPr>
                                    <w:pStyle w:val="TextBody"/>
                                    <w:bidi w:val="0"/>
                                    <w:spacing w:lineRule="atLeast" w:line="180" w:before="0" w:after="283"/>
                                    <w:jc w:val="left"/>
                                    <w:rPr/>
                                  </w:pPr>
                                  <w:r>
                                    <w:rPr>
                                      <w:spacing w:val="4"/>
                                    </w:rPr>
                                    <w:t>Smaller reporting company</w:t>
                                  </w:r>
                                  <w:r>
                                    <w:rPr/>
                                    <w:t xml:space="preserve"> </w:t>
                                    <w:br/>
                                  </w:r>
                                </w:p>
                              </w:txbxContent>
                            </wps:txbx>
                            <wps:bodyPr anchor="t" lIns="0" tIns="0" rIns="0" bIns="0">
                              <a:noAutofit/>
                            </wps:bodyPr>
                          </wps:wsp>
                        </a:graphicData>
                      </a:graphic>
                    </wp:anchor>
                  </w:drawing>
                </mc:Choice>
                <mc:Fallback>
                  <w:pict>
                    <v:rect style="position:absolute;rotation:-0;width:127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Smaller reporting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5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16" w:type="dxa"/>
            <w:tcBorders/>
            <w:vAlign w:val="center"/>
          </w:tcPr>
          <w:p>
            <w:pPr>
              <w:pStyle w:val="TableContents"/>
              <w:bidi w:val="0"/>
              <w:spacing w:lineRule="atLeast" w:line="180" w:before="0" w:after="0"/>
              <w:ind w:left="2540" w:right="0" w:hanging="0"/>
              <w:jc w:val="left"/>
              <w:rPr/>
            </w:pPr>
            <w:r>
              <w:rPr>
                <w:spacing w:val="4"/>
              </w:rPr>
              <w:t>☒</w:t>
            </w:r>
            <w:r>
              <w:rPr/>
              <w:t xml:space="preserve">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1612900" cy="525780"/>
                      <wp:effectExtent l="0" t="0" r="0" b="0"/>
                      <wp:wrapSquare wrapText="right"/>
                      <wp:docPr id="6" name="Frame5"/>
                      <a:graphic xmlns:a="http://schemas.openxmlformats.org/drawingml/2006/main">
                        <a:graphicData uri="http://schemas.microsoft.com/office/word/2010/wordprocessingShape">
                          <wps:wsp>
                            <wps:cNvSpPr txBox="1"/>
                            <wps:spPr>
                              <a:xfrm>
                                <a:off x="0" y="0"/>
                                <a:ext cx="1612900" cy="525780"/>
                              </a:xfrm>
                              <a:prstGeom prst="rect"/>
                              <a:solidFill>
                                <a:srgbClr val="FFFFFF"/>
                              </a:solidFill>
                            </wps:spPr>
                            <wps:txbx>
                              <w:txbxContent>
                                <w:p>
                                  <w:pPr>
                                    <w:pStyle w:val="TextBody"/>
                                    <w:bidi w:val="0"/>
                                    <w:spacing w:lineRule="atLeast" w:line="180" w:before="0" w:after="283"/>
                                    <w:jc w:val="left"/>
                                    <w:rPr/>
                                  </w:pPr>
                                  <w:r>
                                    <w:rPr>
                                      <w:spacing w:val="4"/>
                                    </w:rPr>
                                    <w:t>Emerging growth company</w:t>
                                  </w:r>
                                  <w:r>
                                    <w:rPr/>
                                    <w:t xml:space="preserve"> </w:t>
                                    <w:br/>
                                  </w:r>
                                </w:p>
                              </w:txbxContent>
                            </wps:txbx>
                            <wps:bodyPr anchor="t" lIns="0" tIns="0" rIns="0" bIns="0">
                              <a:noAutofit/>
                            </wps:bodyPr>
                          </wps:wsp>
                        </a:graphicData>
                      </a:graphic>
                    </wp:anchor>
                  </w:drawing>
                </mc:Choice>
                <mc:Fallback>
                  <w:pict>
                    <v:rect style="position:absolute;rotation:-0;width:127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Emerging growth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90" w:before="196"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 emerging growth company, indicate by check mark if the registrant has elected not to use the extended transition period for complying with any new or revised financial accounting standards provided pursuant to Section 7(a)(2)(B) of Securities Act. ☐ </w:t>
      </w:r>
    </w:p>
    <w:p>
      <w:pPr>
        <w:pStyle w:val="TextBody"/>
        <w:bidi w:val="0"/>
        <w:spacing w:lineRule="atLeast" w:line="190" w:before="40" w:after="283"/>
        <w:ind w:left="540" w:right="0" w:firstLine="400"/>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The registrant hereby amends this registration statement on such date or dates as may be necessary to delay its effective date until we shall file a further amendment which specifically states that this registration statement shall thereafter become effective in accordance with Section 8(a) of the Securities Act or until the registration statement becomes effective on such date as the Securities and Exchange Commission, acting pursuant to said Section 8(a), may determine.</w:t>
      </w:r>
      <w:r>
        <w:rPr>
          <w:rFonts w:ascii="Times New Roman;Times;serif" w:hAnsi="Times New Roman;Times;serif"/>
          <w:b/>
          <w:i w:val="false"/>
          <w:caps w:val="false"/>
          <w:smallCaps w:val="false"/>
          <w:color w:val="000000"/>
          <w:spacing w:val="4"/>
          <w:sz w:val="18"/>
        </w:rPr>
        <w:t xml:space="preserve"> </w:t>
      </w:r>
    </w:p>
    <w:p>
      <w:pPr>
        <w:pStyle w:val="TextBody"/>
        <w:bidi w:val="0"/>
        <w:spacing w:before="186"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56" w:after="0"/>
        <w:ind w:left="940" w:right="0" w:hanging="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We use this address for receiving mail and correspondence to our principal executive office located in New York, NY. </w:t>
      </w:r>
      <w:r>
        <mc:AlternateContent>
          <mc:Choice Requires="wps">
            <w:drawing>
              <wp:anchor behindDoc="0" distT="111760" distB="0" distL="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3"/>
                                <w:sz w:val="1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8pt;mso-wrap-distance-bottom:0pt;margin-top:8.8pt;mso-position-vertical:top;mso-position-vertical-relative:text;margin-left:0pt;mso-position-horizontal:left;mso-position-horizontal-relative:text">
                <v:textbox>
                  <w:txbxContent>
                    <w:p>
                      <w:pPr>
                        <w:pStyle w:val="TextBody"/>
                        <w:bidi w:val="0"/>
                        <w:spacing w:before="0" w:after="283"/>
                        <w:jc w:val="left"/>
                        <w:rPr/>
                      </w:pPr>
                      <w:r>
                        <w:rPr>
                          <w:spacing w:val="3"/>
                          <w:sz w:val="14"/>
                        </w:rPr>
                        <w:t>1</w:t>
                      </w:r>
                      <w:r>
                        <w:rPr/>
                        <w:t xml:space="preserve"> </w:t>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before="86"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36"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753"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SUBJECT TO COMPLETION, DATED OCTOBER 1,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00" w:before="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$100,000,000</w:t>
      </w:r>
      <w:r>
        <w:rPr>
          <w:rFonts w:ascii="Times New Roman;Times;serif" w:hAnsi="Times New Roman;Times;serif"/>
          <w:b/>
          <w:i w:val="false"/>
          <w:caps w:val="false"/>
          <w:smallCaps w:val="false"/>
          <w:color w:val="000000"/>
          <w:spacing w:val="6"/>
          <w:sz w:val="28"/>
        </w:rPr>
        <w:t xml:space="preserve"> </w:t>
      </w:r>
    </w:p>
    <w:p>
      <w:pPr>
        <w:pStyle w:val="TextBody"/>
        <w:bidi w:val="0"/>
        <w:spacing w:before="82" w:after="283"/>
        <w:jc w:val="center"/>
        <w:rPr>
          <w:caps w:val="false"/>
          <w:smallCaps w:val="false"/>
          <w:color w:val="000000"/>
        </w:rPr>
      </w:pPr>
      <w:r>
        <w:rPr>
          <w:caps w:val="false"/>
          <w:smallCaps w:val="false"/>
          <w:color w:val="000000"/>
        </w:rPr>
        <w:drawing>
          <wp:inline distT="0" distB="0" distL="0" distR="0">
            <wp:extent cx="2286000" cy="504825"/>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2286000" cy="504825"/>
                    </a:xfrm>
                    <a:prstGeom prst="rect">
                      <a:avLst/>
                    </a:prstGeom>
                  </pic:spPr>
                </pic:pic>
              </a:graphicData>
            </a:graphic>
          </wp:inline>
        </w:drawing>
      </w:r>
      <w:r>
        <w:rPr>
          <w:caps w:val="false"/>
          <w:smallCaps w:val="false"/>
          <w:color w:val="000000"/>
        </w:rPr>
        <w:t xml:space="preserve"> </w:t>
      </w:r>
    </w:p>
    <w:p>
      <w:pPr>
        <w:pStyle w:val="TextBody"/>
        <w:bidi w:val="0"/>
        <w:spacing w:lineRule="atLeast" w:line="360" w:before="20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GEMINI SPACE STATION,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10" w:before="12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Class A Common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Preferred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Depositary Shares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Warrants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Subscription Rights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Purchase Contracts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Purchase Units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00" w:before="40" w:after="283"/>
        <w:jc w:val="center"/>
        <w:rPr>
          <w:rFonts w:ascii="Times New Roman;Times;serif" w:hAnsi="Times New Roman;Times;serif"/>
          <w:b w:val="false"/>
          <w:i/>
          <w:caps w:val="false"/>
          <w:smallCaps w:val="false"/>
          <w:color w:val="000000"/>
          <w:spacing w:val="4"/>
          <w:sz w:val="18"/>
        </w:rPr>
      </w:pPr>
      <w:r>
        <w:rPr>
          <w:rFonts w:ascii="Times New Roman;Times;serif" w:hAnsi="Times New Roman;Times;serif"/>
          <w:b w:val="false"/>
          <w:i/>
          <w:caps w:val="false"/>
          <w:smallCaps w:val="false"/>
          <w:color w:val="000000"/>
          <w:spacing w:val="4"/>
          <w:sz w:val="18"/>
        </w:rPr>
        <w:t xml:space="preserve">and </w:t>
      </w:r>
    </w:p>
    <w:p>
      <w:pPr>
        <w:pStyle w:val="TextBody"/>
        <w:bidi w:val="0"/>
        <w:spacing w:lineRule="atLeast" w:line="200" w:before="4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Up to 7,142,857 shares of Class A Common Stock offered by the Selling Securityholder</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00" w:before="60" w:after="283"/>
        <w:ind w:left="1753"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We may offer, issue and sell from time to time, in one or more offerings, the securities described in this prospectus having an aggregate initial offering price of up to $100,000,000, in amounts, at prices and on terms determined at the time of any such offering, (1) shares of our Class A common stock, par value $0.001 per share (the “Class A common stock”), (2) shares of our preferred stock, par value $0.001 per share (the “preferred stock”), which we may issue in one or more series, (3) depositary shares representing fractional shares of our preferred stock, (4) debt securities, which may be issued in one or more series and which may be senior debt securities or subordinated debt securities, (5) warrants to purchase shares of our Class A common stock, shares of our preferred stock or our debt securities, (6) subscription rights to purchase shares of our Class A common stock, shares of our preferred stock or our debt securities, (7) purchase contracts to purchase shares of our Class A common stock, shares of our preferred stock or our debt securities or (8) purchase units, each representing ownership of a purchase contract and debt securities, preferred securities or debt obligations of third parties, including U.S. treasury securities, or any combination of the foregoing, securing the holder’s obligation to purchase our Class A common stock or other securities under the purchase contracts. </w:t>
      </w:r>
    </w:p>
    <w:p>
      <w:pPr>
        <w:pStyle w:val="TextBody"/>
        <w:bidi w:val="0"/>
        <w:spacing w:lineRule="atLeast" w:line="200" w:before="60" w:after="283"/>
        <w:ind w:left="1753"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 addition, the selling securityholder may offer and sell, from time to time, up to 7,142,857 shares of our Class A common stock. We will not receive any proceeds from the sale of our securities by the selling securityholder. </w:t>
      </w:r>
    </w:p>
    <w:p>
      <w:pPr>
        <w:pStyle w:val="TextBody"/>
        <w:bidi w:val="0"/>
        <w:spacing w:lineRule="atLeast" w:line="200" w:before="60" w:after="283"/>
        <w:ind w:left="1753"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Each time we sell securities, we will provide a supplement to this prospectus, to the extent necessary, that contains specific information about the terms of that offering as well as the amounts, prices and terms of the securities offered. The prospectus supplement may also add, update or change information contained in this prospectus with respect to that offering. You should carefully read this prospectus and any applicable prospectus supplement before you invest in any of our securities. </w:t>
      </w:r>
    </w:p>
    <w:p>
      <w:pPr>
        <w:pStyle w:val="TextBody"/>
        <w:bidi w:val="0"/>
        <w:spacing w:lineRule="atLeast" w:line="200" w:before="60" w:after="283"/>
        <w:ind w:left="1753"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We and/or the selling securityholder may offer and sell these securities to or through one or more underwriters, dealers and agents, or directly to purchasers, on a continuous or delayed basis. </w:t>
      </w:r>
    </w:p>
    <w:p>
      <w:pPr>
        <w:pStyle w:val="TextBody"/>
        <w:bidi w:val="0"/>
        <w:spacing w:lineRule="atLeast" w:line="200" w:before="60" w:after="283"/>
        <w:ind w:left="1753"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We may offer securities through underwriting syndicates managed or co-managed by one or more underwriters or dealers, through agents or directly to purchasers, or through a combination of these methods. These securities may also be resold by the selling securityholder. If required, the prospectus supplement for each offering of securities will describe the plan of distribution for that offering. For general information about the distribution of securities offered, please see “Plan of Distribution” in this prospectus. No securities may be sold without delivery of this prospectus and any applicable prospectus supplement describing the method and terms of the offering of such securities. </w:t>
      </w:r>
    </w:p>
    <w:p>
      <w:pPr>
        <w:pStyle w:val="TextBody"/>
        <w:bidi w:val="0"/>
        <w:spacing w:lineRule="atLeast" w:line="200" w:before="60" w:after="283"/>
        <w:ind w:left="1753"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Our Class A common stock is listed on the Nasdaq Global Select Market (“Nasdaq”) under the symbol “GEMI.” On September 30, 2026, the closing price of our Class A common stock on Nasdaq was $5.16. </w:t>
      </w:r>
    </w:p>
    <w:p>
      <w:pPr>
        <w:pStyle w:val="TextBody"/>
        <w:bidi w:val="0"/>
        <w:spacing w:lineRule="atLeast" w:line="200" w:before="60" w:after="283"/>
        <w:ind w:left="1753"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We are an “emerging growth company” under the Jumpstart Our Business Startups Act of 2012 (the “JOBS Act”) and applicable rules of the United States Securities and Exchange Commission (“SEC”). As such, we are eligible to rely on reduced public company reporting requirements. </w:t>
      </w:r>
    </w:p>
    <w:p>
      <w:pPr>
        <w:pStyle w:val="TextBody"/>
        <w:bidi w:val="0"/>
        <w:spacing w:lineRule="atLeast" w:line="200" w:before="60" w:after="283"/>
        <w:ind w:left="1753" w:right="0" w:firstLine="400"/>
        <w:jc w:val="left"/>
        <w:rPr/>
      </w:pPr>
      <w:r>
        <w:rPr>
          <w:rFonts w:ascii="Times New Roman;Times;serif" w:hAnsi="Times New Roman;Times;serif"/>
          <w:b w:val="false"/>
          <w:i w:val="false"/>
          <w:caps w:val="false"/>
          <w:smallCaps w:val="false"/>
          <w:color w:val="000000"/>
          <w:spacing w:val="4"/>
          <w:sz w:val="18"/>
        </w:rPr>
        <w:t>Investing in our securities involves a number of risks. See “</w:t>
      </w:r>
      <w:r>
        <w:rPr>
          <w:rFonts w:ascii="Times New Roman;Times;serif" w:hAnsi="Times New Roman;Times;serif"/>
          <w:b w:val="false"/>
          <w:i w:val="false"/>
          <w:caps w:val="false"/>
          <w:smallCaps w:val="false"/>
          <w:color w:val="000000"/>
          <w:spacing w:val="4"/>
          <w:sz w:val="18"/>
          <w:u w:val="single"/>
        </w:rPr>
        <w:t>Risk Factors</w:t>
      </w:r>
      <w:r>
        <w:rPr>
          <w:rFonts w:ascii="Times New Roman;Times;serif" w:hAnsi="Times New Roman;Times;serif"/>
          <w:b w:val="false"/>
          <w:i w:val="false"/>
          <w:caps w:val="false"/>
          <w:smallCaps w:val="false"/>
          <w:color w:val="000000"/>
          <w:spacing w:val="4"/>
          <w:sz w:val="18"/>
        </w:rPr>
        <w:t>” beginning on page </w:t>
      </w:r>
      <w:hyperlink w:anchor="bRIFA">
        <w:r>
          <w:rPr>
            <w:rStyle w:val="InternetLink"/>
          </w:rPr>
          <w:t>7</w:t>
        </w:r>
      </w:hyperlink>
      <w:r>
        <w:rPr>
          <w:rFonts w:ascii="Times New Roman;Times;serif" w:hAnsi="Times New Roman;Times;serif"/>
          <w:b w:val="false"/>
          <w:i w:val="false"/>
          <w:caps w:val="false"/>
          <w:smallCaps w:val="false"/>
          <w:color w:val="000000"/>
          <w:spacing w:val="4"/>
          <w:sz w:val="18"/>
        </w:rPr>
        <w:t xml:space="preserve"> and the supplemental risk factors contained in any applicable prospectus supplement and in the documents incorporated by reference for a description of the risks you should consider when evaluating such investment. </w:t>
      </w:r>
    </w:p>
    <w:p>
      <w:pPr>
        <w:pStyle w:val="TextBody"/>
        <w:bidi w:val="0"/>
        <w:spacing w:lineRule="atLeast" w:line="200" w:before="60" w:after="283"/>
        <w:ind w:left="1753"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Neither the SEC nor any state, provincial or territorial securities commission, nor any other regulatory body has approved or disapproved of these securities or determined if this prospectus or any accompanying prospectus supplement is truthful or complete. Any representation to the contrary is a criminal offense. </w:t>
      </w:r>
    </w:p>
    <w:p>
      <w:pPr>
        <w:pStyle w:val="TextBody"/>
        <w:bidi w:val="0"/>
        <w:spacing w:lineRule="atLeast" w:line="200" w:before="6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The date of this prospectus is                 , 2026.</w:t>
      </w:r>
      <w:r>
        <w:rPr>
          <w:rFonts w:ascii="Times New Roman;Times;serif" w:hAnsi="Times New Roman;Time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09"/>
        <w:gridCol w:w="109"/>
        <w:gridCol w:w="109"/>
        <w:gridCol w:w="109"/>
        <w:gridCol w:w="109"/>
        <w:gridCol w:w="403"/>
        <w:gridCol w:w="109"/>
        <w:gridCol w:w="155"/>
      </w:tblGrid>
      <w:tr>
        <w:trPr/>
        <w:tc>
          <w:tcPr>
            <w:tcW w:w="77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bATP">
              <w:r>
                <w:rPr>
                  <w:rStyle w:val="InternetLink"/>
                  <w:spacing w:val="4"/>
                </w:rPr>
                <w:t>1</w:t>
              </w:r>
            </w:hyperlink>
            <w:hyperlink w:anchor="b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b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bWYCF">
              <w:r>
                <w:rPr>
                  <w:rStyle w:val="InternetLink"/>
                  <w:spacing w:val="4"/>
                </w:rPr>
                <w:t>3</w:t>
              </w:r>
            </w:hyperlink>
            <w:hyperlink w:anchor="b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bCNRF">
              <w:r>
                <w:rPr>
                  <w:rStyle w:val="InternetLink"/>
                  <w:spacing w:val="4"/>
                </w:rPr>
                <w:t xml:space="preserve">CAUTIONARY NOTE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bCNRF">
              <w:r>
                <w:rPr>
                  <w:rStyle w:val="InternetLink"/>
                  <w:spacing w:val="4"/>
                </w:rPr>
                <w:t>4</w:t>
              </w:r>
            </w:hyperlink>
            <w:hyperlink w:anchor="bCNR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bTHCO">
              <w:r>
                <w:rPr>
                  <w:rStyle w:val="InternetLink"/>
                  <w:spacing w:val="4"/>
                </w:rPr>
                <w:t xml:space="preserve">THE COMPANY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bTHCO">
              <w:r>
                <w:rPr>
                  <w:rStyle w:val="InternetLink"/>
                  <w:spacing w:val="4"/>
                </w:rPr>
                <w:t>6</w:t>
              </w:r>
            </w:hyperlink>
            <w:hyperlink w:anchor="bTH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bRIFA">
              <w:r>
                <w:rPr>
                  <w:rStyle w:val="InternetLink"/>
                  <w:spacing w:val="4"/>
                </w:rPr>
                <w:t>7</w:t>
              </w:r>
            </w:hyperlink>
            <w:hyperlink w:anchor="b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bUOP">
              <w:r>
                <w:rPr>
                  <w:rStyle w:val="InternetLink"/>
                  <w:spacing w:val="4"/>
                </w:rPr>
                <w:t>8</w:t>
              </w:r>
            </w:hyperlink>
            <w:hyperlink w:anchor="b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bDOS">
              <w:r>
                <w:rPr>
                  <w:rStyle w:val="InternetLink"/>
                  <w:spacing w:val="4"/>
                </w:rPr>
                <w:t xml:space="preserve">DESCRIPTION OF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bDOS">
              <w:r>
                <w:rPr>
                  <w:rStyle w:val="InternetLink"/>
                  <w:spacing w:val="4"/>
                </w:rPr>
                <w:t>9</w:t>
              </w:r>
            </w:hyperlink>
            <w:hyperlink w:anchor="bDO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bDOCS">
              <w:r>
                <w:rPr>
                  <w:rStyle w:val="InternetLink"/>
                  <w:spacing w:val="4"/>
                </w:rPr>
                <w:t xml:space="preserve">DESCRIPTION OF CAPITAL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bDOCS">
              <w:r>
                <w:rPr>
                  <w:rStyle w:val="InternetLink"/>
                  <w:spacing w:val="4"/>
                </w:rPr>
                <w:t>10</w:t>
              </w:r>
            </w:hyperlink>
            <w:hyperlink w:anchor="bDOC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bDODS">
              <w:r>
                <w:rPr>
                  <w:rStyle w:val="InternetLink"/>
                  <w:spacing w:val="4"/>
                </w:rPr>
                <w:t xml:space="preserve">DESCRIPTION OF DEPOSITARY SHARES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bDODS">
              <w:r>
                <w:rPr>
                  <w:rStyle w:val="InternetLink"/>
                  <w:spacing w:val="4"/>
                </w:rPr>
                <w:t>17</w:t>
              </w:r>
            </w:hyperlink>
            <w:hyperlink w:anchor="bDOD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bDODS1">
              <w:r>
                <w:rPr>
                  <w:rStyle w:val="InternetLink"/>
                  <w:spacing w:val="4"/>
                </w:rPr>
                <w:t xml:space="preserve">DESCRIPTION OF DEBT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bDODS1">
              <w:r>
                <w:rPr>
                  <w:rStyle w:val="InternetLink"/>
                  <w:spacing w:val="4"/>
                </w:rPr>
                <w:t>19</w:t>
              </w:r>
            </w:hyperlink>
            <w:hyperlink w:anchor="bDODS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bDOW">
              <w:r>
                <w:rPr>
                  <w:rStyle w:val="InternetLink"/>
                  <w:spacing w:val="4"/>
                </w:rPr>
                <w:t xml:space="preserve">DESCRIPTION OF WARRANTS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bDOW">
              <w:r>
                <w:rPr>
                  <w:rStyle w:val="InternetLink"/>
                  <w:spacing w:val="4"/>
                </w:rPr>
                <w:t>22</w:t>
              </w:r>
            </w:hyperlink>
            <w:hyperlink w:anchor="bDO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bDOSR">
              <w:r>
                <w:rPr>
                  <w:rStyle w:val="InternetLink"/>
                  <w:spacing w:val="4"/>
                </w:rPr>
                <w:t xml:space="preserve">DESCRIPTION OF SUBSCRIPTION RIGHTS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bDOSR">
              <w:r>
                <w:rPr>
                  <w:rStyle w:val="InternetLink"/>
                  <w:spacing w:val="4"/>
                </w:rPr>
                <w:t>23</w:t>
              </w:r>
            </w:hyperlink>
            <w:hyperlink w:anchor="bDOS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bDOPC">
              <w:r>
                <w:rPr>
                  <w:rStyle w:val="InternetLink"/>
                  <w:spacing w:val="4"/>
                </w:rPr>
                <w:t xml:space="preserve">DESCRIPTION OF PURCHASE CONTRACTS AND PURCHASE UNITS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bDOPC">
              <w:r>
                <w:rPr>
                  <w:rStyle w:val="InternetLink"/>
                  <w:spacing w:val="4"/>
                </w:rPr>
                <w:t>24</w:t>
              </w:r>
            </w:hyperlink>
            <w:hyperlink w:anchor="bDOP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bSESE">
              <w:r>
                <w:rPr>
                  <w:rStyle w:val="InternetLink"/>
                  <w:spacing w:val="4"/>
                </w:rPr>
                <w:t xml:space="preserve">SELLING SECURITYHOLDERS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bSESE">
              <w:r>
                <w:rPr>
                  <w:rStyle w:val="InternetLink"/>
                  <w:spacing w:val="4"/>
                </w:rPr>
                <w:t>25</w:t>
              </w:r>
            </w:hyperlink>
            <w:hyperlink w:anchor="bSES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bPOD">
              <w:r>
                <w:rPr>
                  <w:rStyle w:val="InternetLink"/>
                  <w:spacing w:val="4"/>
                </w:rPr>
                <w:t>26</w:t>
              </w:r>
            </w:hyperlink>
            <w:hyperlink w:anchor="bP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b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bLEMA">
              <w:r>
                <w:rPr>
                  <w:rStyle w:val="InternetLink"/>
                  <w:spacing w:val="4"/>
                </w:rPr>
                <w:t>27</w:t>
              </w:r>
            </w:hyperlink>
            <w:hyperlink w:anchor="b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bEXP">
              <w:r>
                <w:rPr>
                  <w:rStyle w:val="InternetLink"/>
                  <w:spacing w:val="4"/>
                </w:rPr>
                <w:t>27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bAT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have filed with the SEC, utilizing a “shelf” registration process under the Securities Act of 1933, as amended (the “Securities Act”). Under the shelf registration process, we may from time to time, offer and sell to the public any combination of the securities described in this prospectus in one or more offerings, up to a total aggregate initial offering price of $100,000,000. In addition, the selling securityholder may offer from time to time, in one or more offerings, up to 7,142,857 shares of our Class A common stock. Each time that we sell securities, we will provide a prospectus supplement to this prospectus, to the extent necessary,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“Where You Can Find More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include agreements as exhibits to the registration statement of which this prospectus forms a part. In reviewing such agreements, please remember that they are included to provide you with information regarding their terms and are not intended to provide any other factual or disclosure information about us or the other parties to the agreements. The agreements may contain representations and warranties by each of the parties to the applicable agreement. These representations and warranties have been made solely for the benefit of the other parties to the applicable agreement and: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should not in all instances be treated as categorical statements of fact, but rather as a way of allocating the risk to one of the parties if those statements prove to be inaccurate;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have been qualified by disclosures that were made to the other party in connection with the negotiation of the applicable agreement, which disclosures would not necessarily be reflected in the agreement;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apply standards of materiality in a way that is different from what may be viewed as material to you or other investors in our securities; and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were made only as of the date of the applicable agreement or such other date or dates as may be specified in the agreement and are subject to more recent developments.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these representations and warranties may not describe the actual state of affairs as of the date they were made or at any other time. Additional information about us may be found elsewhere in the registration statement of which this prospectus forms a part and our other public filings, which are available without charge through the SEC’s website at http://www.sec.gov.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selling securityholder have authorized anyone to provide you with any information or to make any representations other than those contained in or incorporated by reference into this prospectus, any accompanying prospectus supplement and any free writing prospectus prepared by or on behalf of us. We and the selling securityholder take no responsibility for, and can provide no assurance as to the reliability of, any other information that others may give you. We and the selling securityholder are not making offers to sell the securities in any jurisdiction in which an offer or solicitation is not authorized or in which the person making such offer or solicitation is not qualified to do so or to anyone to whom it is unlawful to make an offer or solicitation.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8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used in this prospectus, the terms “Gemini,” the “Company,” the “Corporation,” “we,” “our” and “us” refer to Gemini Space Station, Inc., a Nevada corporation, and its subsidiaries, unless otherwise specified or the context otherwise requires.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bWYCF"/>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under the Securities Exchange Act of 1934, as amended (the “Exchange Act”). Our SEC filings are available to the public at the SEC’s website at www.sec.gov.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and information filed with the SEC subsequent to this prospectus and prior to the termination of the particular offering referred to in such prospectus supplement will automatically update and supersede this information. This prospectus and any accompanying prospectus supplement incorporate by reference the documents set forth below that we have previously filed with the SEC (other than information deemed furnished and not filed in accordance with SEC rules, including Items 2.02, 7.01 or 9.01 of Form 8-K, as applicable). </w:t>
      </w:r>
    </w:p>
    <w:p>
      <w:pPr>
        <w:pStyle w:val="TextBody"/>
        <w:bidi w:val="0"/>
        <w:spacing w:lineRule="atLeast" w:line="240" w:before="120" w:after="0"/>
        <w:ind w:left="1993" w:right="0" w:hanging="0"/>
        <w:jc w:val="left"/>
        <w:rPr/>
      </w:pPr>
      <w:hyperlink r:id="rId3">
        <w:r>
          <w:rPr>
            <w:rStyle w:val="InternetLink"/>
          </w:rPr>
          <w:t>our Annual Report on Form 10-K for the fiscal year ended December 31, 2025, filed with the SEC on March 31, 2026 (the “Annual Report”);</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4">
        <w:r>
          <w:rPr>
            <w:rStyle w:val="InternetLink"/>
          </w:rPr>
          <w:t>the information specifically incorporated by reference into our Annual Report from our definitive proxy statement on Schedule 14A, filed with the SEC on April 30,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fiscal quarters ended March 31, 2026 and June 30, 2026, filed with the SEC on </w:t>
      </w:r>
      <w:hyperlink r:id="rId5">
        <w:r>
          <w:rPr>
            <w:rStyle w:val="InternetLink"/>
          </w:rPr>
          <w:t>May 15, 2026</w:t>
        </w:r>
      </w:hyperlink>
      <w:r>
        <w:rPr>
          <w:rFonts w:ascii="Times New Roman;Times;serif" w:hAnsi="Times New Roman;Times;serif"/>
          <w:b w:val="false"/>
          <w:i w:val="false"/>
          <w:caps w:val="false"/>
          <w:smallCaps w:val="false"/>
          <w:color w:val="000000"/>
          <w:spacing w:val="4"/>
          <w:sz w:val="20"/>
        </w:rPr>
        <w:t xml:space="preserve"> and </w:t>
      </w:r>
      <w:hyperlink r:id="rId6">
        <w:r>
          <w:rPr>
            <w:rStyle w:val="InternetLink"/>
          </w:rPr>
          <w:t>August 13, 2026</w:t>
        </w:r>
      </w:hyperlink>
      <w:r>
        <w:rPr>
          <w:rFonts w:ascii="Times New Roman;Times;serif" w:hAnsi="Times New Roman;Times;serif"/>
          <w:b w:val="false"/>
          <w:i w:val="false"/>
          <w:caps w:val="false"/>
          <w:smallCaps w:val="false"/>
          <w:color w:val="000000"/>
          <w:spacing w:val="4"/>
          <w:sz w:val="20"/>
        </w:rPr>
        <w:t xml:space="preserve">, respectively; </w:t>
      </w:r>
      <w:r>
        <mc:AlternateContent>
          <mc:Choice Requires="wps">
            <w:drawing>
              <wp:anchor behindDoc="0" distT="762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7">
        <w:r>
          <w:rPr>
            <w:rStyle w:val="InternetLink"/>
          </w:rPr>
          <w:t>February 5, 2026</w:t>
        </w:r>
      </w:hyperlink>
      <w:r>
        <w:rPr>
          <w:rFonts w:ascii="Times New Roman;Times;serif" w:hAnsi="Times New Roman;Times;serif"/>
          <w:b w:val="false"/>
          <w:i w:val="false"/>
          <w:caps w:val="false"/>
          <w:smallCaps w:val="false"/>
          <w:color w:val="000000"/>
          <w:spacing w:val="4"/>
          <w:sz w:val="20"/>
        </w:rPr>
        <w:t xml:space="preserve">, </w:t>
      </w:r>
      <w:hyperlink r:id="rId8">
        <w:r>
          <w:rPr>
            <w:rStyle w:val="InternetLink"/>
          </w:rPr>
          <w:t>February 17, 2026</w:t>
        </w:r>
      </w:hyperlink>
      <w:r>
        <w:rPr>
          <w:rFonts w:ascii="Times New Roman;Times;serif" w:hAnsi="Times New Roman;Times;serif"/>
          <w:b w:val="false"/>
          <w:i w:val="false"/>
          <w:caps w:val="false"/>
          <w:smallCaps w:val="false"/>
          <w:color w:val="000000"/>
          <w:spacing w:val="4"/>
          <w:sz w:val="20"/>
        </w:rPr>
        <w:t xml:space="preserve">, </w:t>
      </w:r>
      <w:hyperlink r:id="rId9">
        <w:r>
          <w:rPr>
            <w:rStyle w:val="InternetLink"/>
          </w:rPr>
          <w:t>May 14, 2026</w:t>
        </w:r>
      </w:hyperlink>
      <w:r>
        <w:rPr>
          <w:rFonts w:ascii="Times New Roman;Times;serif" w:hAnsi="Times New Roman;Times;serif"/>
          <w:b w:val="false"/>
          <w:i w:val="false"/>
          <w:caps w:val="false"/>
          <w:smallCaps w:val="false"/>
          <w:color w:val="000000"/>
          <w:spacing w:val="4"/>
          <w:sz w:val="20"/>
        </w:rPr>
        <w:t xml:space="preserve">, and </w:t>
      </w:r>
      <w:hyperlink r:id="rId10">
        <w:r>
          <w:rPr>
            <w:rStyle w:val="InternetLink"/>
          </w:rPr>
          <w:t>June 15,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 of our capital stock contained in Exhibit 4.3 of our Annual Report, and any amendment or report filed for the purpose of updating such description. </w:t>
      </w:r>
      <w:r>
        <mc:AlternateContent>
          <mc:Choice Requires="wps">
            <w:drawing>
              <wp:anchor behindDoc="0" distT="762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documents filed by us pursuant to Sections 13(a), 13(c), 14 or 15(d) of the Exchange Act after the date of this prospectus and before the termination of the offering of the securities under this prospectus shall also be deemed to be incorporated herein by reference. We are not, however, incorporating by reference any documents or portions thereof that are not deemed “filed” with the SEC, including any information furnished pursuant to Items 2.02, 7.01 or 9.01 of Form 8-K.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Gemini Space Station,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600 Third Avenue, 2nd Floor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New York, NY 10016</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(646) 751-4401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bCNRF"/>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any accompanying prospectus supplement and any documents incorporated by reference contain forward-looking statements within the meaning of Section 27A of the Securities Act, Section 21E of the Exchange Act, and the Private Securities Litigation Reform Act of 1995 that reflect our current views with respect to, among other things, future events and our future business, operating results, financial condition, prospects, the impact of potential acquisitions and dispositions, and our strategy for growth. Forward-looking statements are generally identified by the words or phrases “may,” “should,” “could,” “predict,” “potential,” “believe,” “will likely result,” “expect,” “continue,” “will,” “anticipate,” “seek,” “estimate,” “intend,” “plan,” “projection,” “would,” and “outlook,” or the negative version of those words or phrases or other comparable words or phrases of a future or forward-looking nature. These forward-looking statements are not statements of historical fact, and are based on current expectations, estimates, and projections about our industry as well as certain assumptions made by management, many of which, by their nature, are inherently uncertain and beyond our control, that, if proven incorrect or do not materialize, could cause our results to differ materially from those expressed or implied by these forward-looking statements.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forward-looking statements may include, but are not limited to, statements about: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future financial performance, including our expectations regarding our net revenue, operating expenses, and our ability to achieve and maintain future profitability; </w:t>
      </w:r>
      <w:r>
        <mc:AlternateContent>
          <mc:Choice Requires="wps">
            <w:drawing>
              <wp:anchor behindDoc="0" distT="7493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anticipated trends, growth rates, and challenges in our business, the cryptoeconomy, and in the markets in which we operate; </w:t>
      </w:r>
      <w:r>
        <mc:AlternateContent>
          <mc:Choice Requires="wps">
            <w:drawing>
              <wp:anchor behindDoc="0" distT="7493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successfully execute our business strategy, including our strategy of expanding our products and services and developing a multi-product financial “super app,” and the adoption and market acceptance of such products and services; </w:t>
      </w:r>
      <w:r>
        <mc:AlternateContent>
          <mc:Choice Requires="wps">
            <w:drawing>
              <wp:anchor behindDoc="0" distT="7493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objectives for future operations; </w:t>
      </w:r>
      <w:r>
        <mc:AlternateContent>
          <mc:Choice Requires="wps">
            <w:drawing>
              <wp:anchor behindDoc="0" distT="7493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further penetrate our existing user base and maintain and expand our user base; </w:t>
      </w:r>
      <w:r>
        <mc:AlternateContent>
          <mc:Choice Requires="wps">
            <w:drawing>
              <wp:anchor behindDoc="0" distT="7493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develop and successfully launch and scale new products and services and grow our business in response to changing technologies, user demand, and competitive pressures; </w:t>
      </w:r>
      <w:r>
        <mc:AlternateContent>
          <mc:Choice Requires="wps">
            <w:drawing>
              <wp:anchor behindDoc="0" distT="7493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concerning relationships with third parties; </w:t>
      </w:r>
      <w:r>
        <mc:AlternateContent>
          <mc:Choice Requires="wps">
            <w:drawing>
              <wp:anchor behindDoc="0" distT="7493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maintain, protect, and enhance our intellectual property; </w:t>
      </w:r>
      <w:r>
        <mc:AlternateContent>
          <mc:Choice Requires="wps">
            <w:drawing>
              <wp:anchor behindDoc="0" distT="7493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increased competition in our markets and our ability to compete effectively; </w:t>
      </w:r>
      <w:r>
        <mc:AlternateContent>
          <mc:Choice Requires="wps">
            <w:drawing>
              <wp:anchor behindDoc="0" distT="7493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acquisitions of or investments in complementary companies, products, services, or technologies and our ability to successfully integrate such companies or assets; </w:t>
      </w:r>
      <w:r>
        <mc:AlternateContent>
          <mc:Choice Requires="wps">
            <w:drawing>
              <wp:anchor behindDoc="0" distT="7493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comply with laws and regulations that currently apply or become applicable to our business both in the United States and internationally; </w:t>
      </w:r>
      <w:r>
        <mc:AlternateContent>
          <mc:Choice Requires="wps">
            <w:drawing>
              <wp:anchor behindDoc="0" distT="7493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economic, digital asset, and industry trends, projected growth, or trend analysis; </w:t>
      </w:r>
      <w:r>
        <mc:AlternateContent>
          <mc:Choice Requires="wps">
            <w:drawing>
              <wp:anchor behindDoc="0" distT="7493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our liquidity, capital resources, indebtedness, financing arrangements, debt service obligations, collateral requirements, regulatory capital and reserve requirements, and our ability to obtain additional capital or financing on acceptable terms, or at all; </w:t>
      </w:r>
      <w:r>
        <mc:AlternateContent>
          <mc:Choice Requires="wps">
            <w:drawing>
              <wp:anchor behindDoc="0" distT="7493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legal and regulatory proceedings, investigations, litigation, enforcement actions, and related developments; </w:t>
      </w:r>
      <w:r>
        <mc:AlternateContent>
          <mc:Choice Requires="wps">
            <w:drawing>
              <wp:anchor behindDoc="0" distT="7493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pending and future litigation, regulatory proceedings, enforcement actions, and changes in federal or state law, including the possibility that such matters or changes could affect whether we offer, or continue to offer, certain products or services, including event contracts; </w:t>
      </w:r>
      <w:r>
        <mc:AlternateContent>
          <mc:Choice Requires="wps">
            <w:drawing>
              <wp:anchor behindDoc="0" distT="7493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trends in revenue, cost of revenue, operating expenses and expectations regarding these items; and </w:t>
      </w:r>
      <w:r>
        <mc:AlternateContent>
          <mc:Choice Requires="wps">
            <w:drawing>
              <wp:anchor behindDoc="0" distT="7493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statements regarding our future operations, financial condition, and prospects and business strategies. </w:t>
      </w:r>
      <w:r>
        <mc:AlternateContent>
          <mc:Choice Requires="wps">
            <w:drawing>
              <wp:anchor behindDoc="0" distT="7493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04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forward-looking statements in this prospectus, any accompanying prospectus supplement and any documents incorporated by reference are only predictions and are based largely on our current expectations and projections about future events and trends that we believe may affect our business strategy, operating results, financial condition, short-term and long-term business operations and objectives, and financial needs. The forward-looking statements in this prospectus, and any accompanying prospectus supplement and any documents incorporated by reference, speak only as of the date of such document. These forward-looking statements are subject to a number of known and unknown risks, uncertainties and assumptions. We cannot guarantee that any forward-looking statement will be realized. We discuss in greater detail, and incorporate by reference into this prospectus in their entirety, many of these risks and uncertainties under the section 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contained in our most recent Annual Report on Form 10-K, as updated by our subsequent Quarterly Reports on Form 10-Q, as well as any amendments thereto reflected in subsequent filings with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on Form S-3 may not occur and actual results could differ materially and adversely from those anticipated or implied in the forward-looking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forward-looking statements are inherently subject to risks and uncertainties, some of which cannot be predicted or quantified, you should not rely upon these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Except as required by law, we do not assume any obligation to update or revise these forward-looking statements for any reason, even if new information becomes available in the future.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read this prospectus, any accompanying prospectus supplement and any documents incorporated by reference with the understanding that our actual future results, performance, and achievements may be materially different from what we expect. We qualify all of our forward-looking statements with these cautionary statements and urge you not to place undue reliance on any forward-looking statements.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bTHCO"/>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mission is to build the bridge to the future of money and markets. Gemini is a trusted cryptocurrency platform building secure financial infrastructure for the next generation of money and markets, providing access for individuals and institutions to a financial future that is more open, fair, and secure. Gemini was founded in 2014 by Cameron and Tyler Winklevoss to be the most trusted, secure, and easy way to buy, sell, and store crypto assets. Our core exchange product has expanded over time to become a more comprehensive platform that enables users to engage with not only the cryptoeconomy but also markets across a broad range of products and services. Our products and services include a derivatives exchange, staking services, spot margin trading services, an OTC trading desk, institutional-grade custody, a New York Department of Financial Services-regulated stablecoin, a U.S.-based credit card program, and, more recently, a prediction markets platform and U.S. stocks. We are building Gemini as an integrated platform with shared infrastructure for both money and markets and we intend to serve our users through a unified, multi-product experience.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Corporate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principal executive offices are located at 600 Third Avenue, 2nd Floor, New York, NY 10016 and our telephone number is (646) 751-4401. We were incorporated in the State of Nevada on February 4, 2025. Pursuant to an internal reorganization completed in 2025 in connection with our initial public offering, we are a holding company, and our principal asset is a controlling equity interest in Gemini Space Station, LLC, a Nevada limited liability company (“GSS LLC”). We are the sole managing member of GSS LLC and control all of the businesses and affairs of GSS LLC, as well as its direct and indirect subsidiaries. We maintain a website at www.gemini.com. The information found on, or otherwise accessible through, our website is not incorporated by reference in this prospectus or any accompanying prospectus supplement, and you should not consider it a part of this prospectus or any accompanying prospectus supplement.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bRIF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Investing in our securities involves risk. You should carefully consider the risks incorporated by reference to our Annual Report, any subsequent Quarterly Reports on Form 10-Q or Current Reports on Form 8-K, and all other information contained or incorporated by reference into this prospectus and any applicable prospectus supplement as updated by our subsequent filings under the Exchange Act, and the risk factors and other information contained in any applicable prospectus supplement before acquiring any such securities. The risks and uncertainties described in our SEC filings are not the only ones facing us. Additional risks and uncertainties that we are unaware of, or that we currently believe are not material, may also become important factors that adversely affect our business. If any such risks and uncertainties actually occur, our business, financial condition, results of operations and prospects could be materially and adversely affected, the market price of our securities could decline and you could lose all or part of your investment. See “Where You Can Find More Information” and “Cautionary Note Regarding Forward-Looking Statements.”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bUOP"/>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set forth in any accompanying prospectus supplement, we expect to use the net proceeds from the sale of securities by us for general corporate purposes, which may include, without limitation, working capital, capital expenditures, repayment or refinancing of indebtedness, acquisitions, investments or other strategic transactions.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receive any proceeds in the event that securities are sold by the selling securityholder.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bDOS"/>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summary descriptions of our common stock, preferred stock, depositary shares, debt securities, warrants, purchase contracts and purchase units that may be offered and sold from time to time. These summaries are not meant to be a complete description of each security. The particular terms of any security to be issued pursuant hereto will be set forth in a related prospectus supplement and/or free writing prospectus. This prospectus and the accompanying prospectus supplement and/or free writing prospectus will contain the material terms and conditions for each security.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bDOCS"/>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descriptions are summaries of the material terms of our amended and restated articles of incorporation (the “Articles of Incorporation”), our amended and restated bylaws (the “Bylaws”), and provisions of the Nevada Revised Statutes (“NRS”). This description does not purport to be complete and is qualified in its entirety by reference to the applicable provisions of the NRS, as it may be amended from time to time, and to the terms of our Articles of Incorporation and Bylaws, which are incorporated by reference as exhibits to the registration statement of which this prospectus is a part. See “Where You Can Find More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authorized capital stock consists of: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1,000,000,000 shares of Class A common stock, par value $0.001 per share; </w:t>
      </w:r>
      <w:r>
        <mc:AlternateContent>
          <mc:Choice Requires="wps">
            <w:drawing>
              <wp:anchor behindDoc="0" distT="7239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100,000,000 shares of Class B common stock, par value $0.001 per share; and </w:t>
      </w:r>
      <w:r>
        <mc:AlternateContent>
          <mc:Choice Requires="wps">
            <w:drawing>
              <wp:anchor behindDoc="0" distT="7239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20,000,000 shares of preferred stock, par value $0.001 per share. </w:t>
      </w:r>
      <w:r>
        <mc:AlternateContent>
          <mc:Choice Requires="wps">
            <w:drawing>
              <wp:anchor behindDoc="0" distT="7239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two classes of common stock: Class A and Class B. The Class A common stock and Class B common stock generally vote together as a single class on all matters submitted to a vote of stockholders, except as otherwise required by Nevada law or provided in our Articles of Incorporation.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 A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shares of our Class A common stock are entitled to one vote for each share held of record on all matters submitted to a vote of stockholders.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 and Distribution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shares of our Class A common stock are entitled to receive dividends or other distributions ratably with holders of shares of our Class B common stock when, as and if declared by our board of directors out of funds legally available therefor, subject to any statutory or contractual restrictions on the payment of dividends or other distributions and to any restrictions on the payment of dividends or other distributions imposed by the terms of any outstanding preferred stock, unless different treatment of the shares of Class A common stock and Class B common stock is approved by the affirmative vote of the holders of a majority of the outstanding shares of the Class A common stock and the holders of a majority of the outstanding shares of the Class B common stock, each voting separately as a class.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Liquidation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our liquidation, dissolution or winding up, the assets legally available for distribution to our stockholders will be distributable ratably among the holders of our Class A common stock and Class B common stock, subject to prior satisfaction of all outstanding debts and other liabilities and the payment of liquidation preferences, if any, on any outstanding preferred stock, unless different treatment of the shares of Class A common stock and Class B common stock is approved by the affirmative vote of the holders of a majority of the outstanding shares of the Class A common stock and the holders of a majority of the outstanding shares of the Class B common stock, each voting separately as a class.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Matters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shares of our Class A common stock are fully paid and non-assessable. The Class A common stock is not subject to further calls or assessments by us. Holders of shares of our Class A common stock do not have preemptive, subscription, redemption or conversion rights. There are no redemption or sinking fund provisions applicable to the Class A common stock. The rights, powers, preferences and privileges of our Class A common stock are subject to those of the holders of any shares of our preferred stock or any other series or class of stock we may authorize and issue in the future.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 B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shares of our Class B common stock are entitled to ten votes for each share held of record on all matters submitted to a vote of stockholders.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 and Distribution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shares of our Class B common stock are entitled to receive dividends or other distributions ratably with holders of shares of our Class A common stock when, as and if declared by our board of directors out of funds legally available therefor, subject to any statutory or contractual restrictions on the payment of dividends or other distributions and to any restrictions on the payment of dividends or other distributions imposed by the terms of any outstanding preferred stock, unless different treatment of the shares of Class A common stock and Class B common stock is approved by the affirmative vote of the holders of a majority of the outstanding shares of the Class A common stock and the holders of a majority of the outstanding shares of the Class B common stock, each voting separately as a class.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Liquidation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our liquidation, dissolution or winding up, the assets legally available for distribution to our stockholders will be distributable ratably among the holders of our Class A common stock and Class B common stock, subject to prior satisfaction of all outstanding debts and other liabilities and the payment of liquidation preferences, if any, on any outstanding preferred stock, unless different treatment of the shares of Class A common stock and Class B common stock is approved by the affirmative vote of the holders of a majority of the outstanding shares of the Class A common stock and the holders of a majority of the outstanding shares of the Class B common stock, each voting separately as a class.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Conversion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of our Class B common stock may be exchanged at any time, at the option of the holder, for newly issued shares of our Class A common stock, on a one-for-one basis (in which case shares of our Class B common stock will be canceled on a one-for-one basis upon any such conversion and issuance). Each share of our Class B common stock will convert automatically into one share of our Class A common stock upon any Transfer (as defined in our Articles of Incorporation), whether or not for value, except for certain permitted transfers described in our Articles of Incorporation. All outstanding shares of Class B common stock will convert automatically into shares of our Class A common stock at 5:00 p.m. New York City time on the date fixed by the Board that is no less than 61 days and no more than 180 days following the earliest to occur of (a) the date of the death or disability of the last to die or become disabled of Cameron and/or Tyler Winklevoss (the “Founders”); provided that if only one of the Founders has died or become disabled, a voting proxy will be automatically granted to the other Founder over all of the shares of Class B common stock held by the dead or disabled person, his controlled entities, and their permitted transferees, such that the proxy holder will have exclusive voting control over such shares of Class B common stock; or (b) the date that the number of shares of Class B common stock or securities convertible into or exchangeable for Class B common stock held by the Founders, their controlled entities, and their permitted transferees, is less than 20% of the number of such shares held by them immediately following our IPO.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Articles of Incorporation do not entitle holders of our Class B common stock to preemptive or other subscription rights. There are no redemption or sinking fund provisions applicable to our Class B common stock. All shares of our Class B common stock are fully paid and non-assessable. Our Founders collectively own 100% of our outstanding Class B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Authorized but Unissued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shares of preferred stock are issued or outstanding.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Articles of Incorporation permit our board of directors to establish one or more series of preferred stock (including convertible preferred stock). Unless required by law or any stock exchange, the authorized shares of preferred stock are available for issuance without further action by our stockholders. We are able to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Class A common stock might receive a premium for their Class A common stock over the market price of the Class A common stock. In addition, the issuance of preferred stock may adversely affect the holders of our Class A common stock by restricting dividends or other distributions on the Class A common stock, diluting the voting power of the Class A common stock or subordinating the liquidation rights of the Class A common stock. The issuance of preferred stock could have the effect of delaying, deferring or preventing a change of control, or other corporate action. As a result of these or other factors, the issuance of preferred stock may have an adverse impact on the market price of our Class A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Effects of our Articles of Incorporation and Bylaws and Certain Provisions of Nevada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of the NRS, our Articles of Incorporation, and our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Nevada Law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Combinations with Interested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Nevada’s “combinations with interested stockholders” statutes (NRS 78.411 through 78.444, inclusive) provide that specified types of business “combinations” between certain Nevada corporations and any person deemed to be an “interested stockholder” of the corporation are prohibited for two years after such person first becomes an “interested stockholder” unless the corporation’s board of directors approves the combination (or the transaction by which such person becomes an “interested stockholder”) in advance, or unless the combination is approved by the board of directors and 60% of the corporation’s voting power not beneficially owned by the interested stockholder, its affiliates and associates. Furthermore, in the absence of prior approval certain restrictions may apply even after such two-year period. For purposes of these statutes, an “interested stockholder” is any person who is (1) the beneficial owner, directly or indirectly, of 10% or more of the voting power of the outstanding voting shares of the corporation, or (2) an affiliate or associate of the corporation and at any time within the two previous years was the beneficial owner, directly or indirectly, of 10% or more of the voting power of the then-outstanding shares of the corporation. The definition of the term “combination” is sufficiently broad to cover most significant transactions between a corporation and an “interested stockholder.”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statutes generally apply to Nevada corporations with 200 or more stockholders of record. However, a Nevada corporation may elect in its articles of incorporation not to be governed by these particular laws, but if such election is not made in the corporation’s original articles of incorporation, the amendment (1) must be approved by the affirmative vote of the holders of stock representing a majority of the outstanding voting power of the corporation not beneficially owned by interested stockholders or their affiliates and associates, and (2) is not effective until 18 months after the vote approving the amendment and does not apply to any combination with a person who first became an interested stockholder on or before the effective date of the amendment.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our Articles of Incorporation, we have opted out of these provisions.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Acquisitions of Controlling Interests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Nevada law also protects a corporation and its stockholders from persons acquiring a “controlling interest” in a corporation. These provisions are found in NRS 78.378 through 78.3793. Pursuant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NRS 78.379, any person who acquires a controlling interest in a corporation may not exercise voting rights with respect to any “control shares” unless such voting rights are conferred by a majority vote of the disinterested stockholders of the issuing corporation at a special meeting of such stockholders held at the request and at the expense of the acquiring person.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and once an acquirer crosses one of these thresholds, shares which it acquired in the transaction taking it over the threshold and within the 90 days immediately preceding the date when the acquiring person acquired or offered to acquire a controlling interest become “control shares” to which the voting restrictions described above apply.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dissenter’s rights under NRS Chapter 92A.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NRS 78.3788 provides that these statutes apply as of a particular date only to a corporation that has 200 or more stockholders of record, at least 100 of whom have addresses in Nevada appearing on the corporation’s stock ledger at all times during the 90 days immediately preceding that date, and which does business in Nevada directly or indirectly or through an affiliated corporation. NRS 78.378(2) provides that the corporation, by virtue of its articles of incorporation, bylaws or resolutions adopted by directors, may impose stricter requirements if it so desires. A corporation is entitled to opt out of these acquisition of controlling interest statutes by making an election in its articles of incorporation or bylaws, provided that the opt-out is in effect on the 10th day following the acquisition of a controlling interest by the acquiring person.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our Bylaws, we have opted out of these statutes.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Dissenter’s Rights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Dissenting stockholders of a corporation engaged in certain major corporate transactions may be entitled to dissenter’s rights in Nevada. Pursuant to the NRS, stockholders who properly demand and perfect dissenter’s rights in connection with any corporate action giving rise to dissenter’s rights will have the right to receive payment of the fair value of their shares as determined by the District Court of the State of Nevada, plus interest, calculated in accordance with the applicable provisions of the NRS, on the amount to be the fair value, from the effective time of such corporate action through the date of payment of the judgment, in lieu of the consideration such stockholder would otherwise receive as a result of such action.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NRS, a stockholder is entitled to dissent from, and obtain payment for, the fair value of the stockholder’s shares in the event of (i) certain acquisitions of a controlling interest in the corporation, (ii) consummation of a plan of merger, if approval by the stockholders is required for the merger, regardless of whether the stockholder is entitled to vote on the merger or if the domestic corporation is a subsidiary and is merged with its parent, or if the domestic corporation is a constituent entity in a merger pursuant to NRS 92A.133, (iii) consummation of a plan of conversion to which the corporation is a party, (iv) consummation of a plan of exchange in which the corporation is a party, (v) any corporate action taken pursuant to a vote of the stockholders, if the articles of incorporation, bylaws or a resolution of the board of directors provide that voting or nonvoting stockholders are entitled to dissent and obtain payment for their shares, or (vi) any corporate action to which the stockholder would be obligated, as a result of the corporate action, to accept money or scrip rather than receive a fraction of a share in exchange for the cancellation of all the stockholder’s outstanding shares, except where the stockholder would not be entitled to receive such payment pursuant to NRS 78.205, 78.2055 or 78.207.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Articles of Incorporation do not provide for any dissenter’s rights in addition to those provided by the NRS.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Stockholder Derivative 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Nevada law, any of our stockholders may bring an action in our name to enforce any rights we have and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Nevada law regarding derivative actions, including by making a pre-suit demand on our board of directors to pursue the claims or satisfying its burden to show that any pre-suit demand would be futile, and demonstrating that it is a fair and adequate representative of the interests of similarly-situated stockholders. Derivative actions may not be dismissed — including if there is a settlement — without notice to the stockholders and court approval.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Provisions of our Articles of Incorporation and Bylaws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Articles of Incorporation and our Bylaws contain provisions that could make the following actions and transactions, among others,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Multiple Classes of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Articles of Incorporation provide for a multiple class common stock structure, which provides our Founders with significant influence over all matters requiring stockholder approval, including the election of directors and approval of significant corporate transactions otherwise approved by our board of directors, such as a merger or other sale of our company or its assets.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Undesignated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to designate a series of our authorized “blank check” preferred stock makes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Special Stockholder Meetings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Articles of Incorporation and Bylaws provide that, subject to the terms of any series of preferred stock, a special meeting of stockholders may only be called by the chair of our board of directors, a majority of the directors then in office or by the Chief Executive Officer. To the extent permitted under applicable law, we may conduct meetings solely by means of remote communications.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Stockholder Action by Written Consent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Articles of Incorporation provide that, before the date (the “Trigger Date”) that our Founders collectively no longer beneficially own more than fifty percent (50%) of the total combined voting power of the outstanding common stock entitled to vote generally in the election of directors, any action required or permitted to be taken at any annual or special meeting of stockholders may be taken without a meeting with a written consent by stockholders holding at least a majority of the voting power of the then-outstanding capital stock entitled to vote thereon, and from and after the Trigger Date, no action may be taken by our stockholders by written consent.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Requirements for Advance Notifications of Stockholder Proposals and Nominations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establish advance notice procedures with respect to stockholder proposals and the nomination of candidates for election as directors, other than nominations made by or at the direction of the board of directors or a committee of the board of directors.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Classified Board; Election and Removal of Directors; Filling Vacancies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Articles of Incorporation provide that, from and after the Trigger Date, our board of directors will be divided into three classes, divided as nearly as equal in number as possible, where such directors in each class will serve for staggered three-year terms, with only one class of directors elected at each annual meeting of our stockholders, with the other classes continuing for the remainder of their respective three-year terms. Because our stockholders do not have cumulative voting rights, our stockholders holding a majority of the voting power of the then-outstanding capital stock are able to elect any director standing for election. Consistent with the minimum requirements under Nevada law, our Articles of Incorporation provide for the removal of any of our directors only upon a stockholder vote by the holders of not less than the minimum percentage of the voting power of the issued and outstanding shares of capital stock entitled to vote thereon, voting together as a single class, then permitted under the NRS (and not less than a majority), which presently is not less than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such voting power. Our Articles of Incorporation provide that, from and after the Trigger Date, in addition to the minimum percentage of the voting power permitted under the NRS, directors may only be removed for cause. Further, our board of directors has the exclusive right to set the size of the board of directors, and any vacancy on our board of directors, however occurring, including a vacancy resulting from an increase in the size of the board, may only be filled by a resolution of the board of directors.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amendment of our Articles of Incorporation relating to our capital stock, the management of our business, our board of directors, stockholder action by written consent, calling special meetings of stockholders, forum selection and the liability of our directors and officers, or the amendment, alteration, rescission or repeal our Bylaws requires the approval by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of the voting power of all of the then-outstanding capital stock entitled to vote thereon, voting together as a single class. In addition, any amendment to our Bylaws requires the approval by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voting power of all of the then-outstanding capital stock entitled to vote thereon, voting together as a single class.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Exclusive Forum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Articles of Incorporation provide that, unless we consent in writing to the selection of an alternative forum, to the fullest extent permitted by law, the Eighth Judicial District Court of the State of Nevada sitting in Clark County, Nevada, is the sole and exclusive forum for any actions, suits or proceedings, whether civil, administrative or investigative, (a) brought in the name or right of us or on our behalf, (b) asserting a claim for breach of any fiduciary duty owed by any current or former director, officer, stockholder, employee, or agent or fiduciary of us to us or our stockholders, (c) for any internal action (as defined in NRS 78.046), including any action asserting a claim against us arising pursuant to any provision of NRS Chapters 78 or 92A, our Articles of Incorporation or our Bylaws, any agreement entered into pursuant to NRS 78.365 or as to which the NRS confers jurisdiction on the district court of the State of Nevada, (d) to interpret, apply, enforce or determine the validity of our Articles of Incorporation or our Bylaws, or (e) asserting a claim governed by the internal affairs doctrine; provided that such exclusive forum provisions do not apply to suits brought to enforce any liability or duty created by the Exchange Act or any other claim for which the federal courts have exclusive jurisdiction.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our Articles of Incorporation provide that, in the event that the Eighth Judicial District Court of Clark County, Nevada does not have jurisdiction over any such action, suit or proceeding, then any other state district court located in the State of Nevada is the sole and exclusive forum and, in the event that no state district court in the State of Nevada has jurisdiction over any such action, suit or proceeding, then a federal district court of the United States located within the State of Nevada is the sole and exclusive forum. Unless we consent otherwise to the selection of an alternative forum, the federal district courts of the United States are the sole and exclusive forum for the resolution of any claim asserting a cause of action arising under the Securities Act, against any person in connection with any offering of our securities. However, Section 22 of the Securities Act creates concurrent jurisdiction for federal and state courts over all suits brought to enforce a duty or liability created by the Securities Act or the rules and regulations thereunder and, accordingly, we cannot be certain that a court would enforce such provision.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Articles of Incorporation further provide that, to the fullest extent not inconsistent with any applicable U.S. federal laws (including the Securities Act and the Exchange Act), any and all “internal actions” ​(as defined in NRS 78.046) must be tried in a court of competent jurisdiction (subject to the exclusive forum provisions in our Articles of Incorporation) before the presiding judge as the trier of fact and not before a jury. Pursuant to NRS 78.046 (as amended effective May 30, 2025, pursuant to Assembly Bill No. 239), such requirement conclusively operates as a waiver of the right to trial by jury by each party to any such internal action, but not to the extent any such waiver would be inconsistent with or prohibited under the federal securities laws (including the Securities Act and the Exchange Act) and the rules and regulations thereunder. Under NRS 78.046, the limited waiver of trial by jury is only intended to apply to “internal actions” brought in state courts in the State of Nevada and does not limit or otherwise affect any right to a jury trial in any other action, suit or proceeding (including in state courts outside of Nevada and U.S. federal courts). Therefore, the limited waiver of trial by jury does not apply to claims brought under the Exchange Act, which are subject to exclusive federal jurisdiction, and only apply to Securities Act claims if such claims are properly brought in state courts in the State of Nevada and constitute an “internal action” under NRS 78.046.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fullest extent permitted by applicable law, any person or entity purchasing or otherwise acquiring any interest in shares of our capital stock shall be deemed to have notice of and consented to the forum and limited jury waiver provisions in our Articles of Incorporation, except our stockholders are not deemed to have waived (and cannot waive) compliance with the federal securities laws (including the Securities Act and the Exchange Act) and the rules and regulations thereunder. These choice of forum and jury waiver provisions, to the extent applicable and enforceable, may limit a stockholder’s ability to bring a claim in a judicial forum, even if such stockholder may believe such different forum or trial by jury to be favorable or convenient for disputes with us or any of our current or former directors, officers, other employees, or stockholders which may discourage lawsuits with respect to such claims. Alternatively, if a court were to find these provisions contained in our Articles of Incorporation to be inapplicable or unenforceable in an action, we may incur additional costs associated with resolving such action in other jurisdictions or before a jury, which could harm our business, results of operations, and financial condition.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 on Liability and Indemnification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fullest extent permitted by the NRS, our directors and officers are not liable to us or any of our stockholders or creditors for monetary damages for breaches of fiduciary duties as a director or officer. Under the NRS, unless the corporation’s articles of incorporation provide for greater liability or pursuant to certain statutory exceptions, a director or officer is not individually liable to the corporation or its stockholders or creditors for damages as a result of an act or failure to act in his or her capacity as a director or officer unless the statutory presumption of the business judgment rule established under NRS 78.138(3) (that such person, in deciding upon matters of business, acted in good faith, on an informed basis and with a view to the interests of the corporation) has been rebutted, and it is proven that (i) the act or failure to act constituted a breach of their fiduciary duties as a director or officer and (ii) such breach involved intentional misconduct, fraud or a knowing violation of law. Our Articles of Incorporation and Bylaws include a provision that eliminates the individual liability of our directors and officers to the fullest extent permitted under Nevada law. In addition, we will indemnify, to the fullest extent permitted by applicable law, any person involved in any suit or action by reason of the fact that such person is or was a director or officer of ours or, at our request, a director, officer, employee or agent of another corporation or entity, against all liability, loss and expenses incurred by such person. We will pay expenses of a director or officer in defending any proceeding in advance of its final disposition, provided that such payment is made upon receipt of an undertaking by the director or officer to repay the amounts advanced if it should be ultimately determined that the director or officer is not entitled to indemnification.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our Class A common stock is Equiniti Trust Company, LLC. The transfer agent’s address is 28 Liberty Street, 53rd Floor, New York, NY 10005.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Class A common stock is listed on the Nasdaq Global Select Market under the symbol “GEMI.”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bDODS"/>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depositary receipts representing fractional shares of our preferred stock, rather than full shares of preferred stock. The shares of preferred stock represented by depositary shares will be deposited under a depositary agreement between us and a bank or trust company that meets certain requirements and is selected by us (the “Bank Depositary”). Each owner of a depositary share will be entitled to all the rights and preferences of the preferred stock represented by the depositary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 in an accompanying prospectus supplement of any depositary shares we offer will not necessarily be complete and will be qualified in its entirety by reference to the applicable depositary agreement, which will be filed with the SEC if we offer depositary shares. For more information on how you can obtain copies of any depositary agreement if we offer depositary shares, see “Where You Can Find More Information.” We urge you to read the applicable depositary agreement and any accompanying prospectus supplement in their entirety.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Dividends and Other Distributions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pay a cash distribution including a dividend on a series of preferred stock represented by depositary shares, the Bank Depositary will make such distributions to the record holders of such depositary shares. If the distributions are in property other than cash, the Bank Depositary will distribute the property to the record holders of the depositary shares. However, if the Bank Depositary determines that it is not feasible to make the distribution of property, the Bank Depositary may, with our approval, sell such property and distribute the net proceeds from such sale to the record holders of the depositary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 of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redeem a series of preferred stock represented by depositary shares, the Bank Depositary will redeem the depositary shares from the proceeds received by the Bank Depositary in connection with the redemption. The redemption price per depositary share will equal the applicable fraction of the redemption price per share of the preferred stock. If fewer than all the depositary shares are redeemed, the depositary shares to be redeemed will be selected by lot or pro rata as the Bank Depositary may determine.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the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receipt of notice of any meeting at which the holders of the preferred stock represented by depositary shares are entitled to vote, the Bank Depositary will mail the notice to the record holders of the depositary shares relating to such preferred stock. Each record holder of these depositary shares on the record date, which will be the same date as the record date for the preferred stock, may instruct the Bank Depositary as to how to vote the preferred stock represented by such holder’s depositary shares. The Bank Depositary will endeavor, insofar as practicable, to vote the amount of the preferred stock represented by such depositary shares in accordance with such instructions, and we will take all action that the Bank Depositary deems necessary in order to enable the Bank Depositary to do so. The Bank Depositary will abstain from voting shares of the preferred stock to the extent it does not receive specific instructions from the holders of depositary shares representing such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and Termination of the Depositary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 of depositary receipt evidencing the depositary shares and any provision of the depositary agreement may be amended by agreement between the Bank Depositary and us. However, any amendment that materially and adversely alters the rights of the holders of depositary shares will not be effective unless such amendment has been approved by the holders of at least a majority of the depositary shares then outstanding. The depositary agreement may be terminated by the Bank Depositary or us only if (1) all outstanding depositary shares have been redeemed or (2) there has been a final distribution in respect of the preferred stock in connection with any liquidation, dissolution or winding up of our company and such distribution has been distributed to the holders of depositary receipts.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Withdrawal of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may be provided otherwise in an accompanying prospectus supplement, upon surrender of depositary receipts at the principal office of the Bank Depositary, subject to the terms of the depositary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6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 the owner of the depositary shares may demand delivery of the number of whole shares of preferred stock and all money and other property, if any, represented by those depositary shares. Partial shares of preferred stock will not be issued. If the depositary receipts delivered by the holder evidence a number of depositary shares in excess of the number of depositary shares representing the number of whole shares of preferred stock to be withdrawn, the Bank Depositary will deliver to such holder at the same time a new depositary receipt evidencing the excess number of depositary shares. Holders of withdrawn preferred stock may not thereafter deposit those shares under the depositary agreement or receive depositary receipts evidencing depositary shares therefor.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bDODS1"/>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debt securities in one or more series, which may be senior debt securities or subordinated debt securities and which may be convertible into another security.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briefly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an accompanying prospectus supplement. Unless otherwise specified in an accompanying prospectus supplement, our debt securities will be issued in one or more series under an indenture to be entered into between us and the trustee to be named therein. A form of the indenture is attached as an exhibit to the registration statement of which this prospectus forms a part. The terms of the debt securities will include those set forth in the indenture and those made a part of the indenture by the Trust Indenture Act of 1939, as amended (“TIA”). You should read the summary below, any accompanying prospectus supplement and the provisions of the indenture in their entirety before investing in our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principal amount of debt securities that may be issued under the indenture is unlimited. The prospectus supplement relating to any series of debt securities that we may offer will contain the specific terms of the debt securities. These terms may include, among others, the following: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and aggregate principal amount of the debt securities and any limit on the aggregate principal amount of such series; </w:t>
      </w:r>
      <w:r>
        <mc:AlternateContent>
          <mc:Choice Requires="wps">
            <w:drawing>
              <wp:anchor behindDoc="0" distT="7747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applicable subordination provisions for any subordinated debt securities; </w:t>
      </w:r>
      <w:r>
        <mc:AlternateContent>
          <mc:Choice Requires="wps">
            <w:drawing>
              <wp:anchor behindDoc="0" distT="7747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maturity date(s) or method for determining same; </w:t>
      </w:r>
      <w:r>
        <mc:AlternateContent>
          <mc:Choice Requires="wps">
            <w:drawing>
              <wp:anchor behindDoc="0" distT="7747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rate(s) or the method for determining same; </w:t>
      </w:r>
      <w:r>
        <mc:AlternateContent>
          <mc:Choice Requires="wps">
            <w:drawing>
              <wp:anchor behindDoc="0" distT="7747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interest will accrue or the method for determining dates on which interest will accrue and dates on which interest will be payable and whether interest will be payable in cash, additional securities or some combination thereof; </w:t>
      </w:r>
      <w:r>
        <mc:AlternateContent>
          <mc:Choice Requires="wps">
            <w:drawing>
              <wp:anchor behindDoc="0" distT="7747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are convertible or exchangeable into other securities and any related terms and conditions; </w:t>
      </w:r>
      <w:r>
        <mc:AlternateContent>
          <mc:Choice Requires="wps">
            <w:drawing>
              <wp:anchor behindDoc="0" distT="7747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or early repayment provisions; </w:t>
      </w:r>
      <w:r>
        <mc:AlternateContent>
          <mc:Choice Requires="wps">
            <w:drawing>
              <wp:anchor behindDoc="0" distT="7747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authorized denominations; </w:t>
      </w:r>
      <w:r>
        <mc:AlternateContent>
          <mc:Choice Requires="wps">
            <w:drawing>
              <wp:anchor behindDoc="0" distT="7747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the principal amount, the principal amount of debt securities payable upon acceleration; </w:t>
      </w:r>
      <w:r>
        <mc:AlternateContent>
          <mc:Choice Requires="wps">
            <w:drawing>
              <wp:anchor behindDoc="0" distT="7747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place(s) where payment of principal and interest may be made, where debt securities may be presented and where notices or demands upon the company may be made; </w:t>
      </w:r>
      <w:r>
        <mc:AlternateContent>
          <mc:Choice Requires="wps">
            <w:drawing>
              <wp:anchor behindDoc="0" distT="7747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 or forms of the debt securities of the series including such legends as may be required by applicable law; </w:t>
      </w:r>
      <w:r>
        <mc:AlternateContent>
          <mc:Choice Requires="wps">
            <w:drawing>
              <wp:anchor behindDoc="0" distT="7747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issued in whole or in part in the form of one or more global securities and the date as of which the securities are dated if other than the date of original issuance; </w:t>
      </w:r>
      <w:r>
        <mc:AlternateContent>
          <mc:Choice Requires="wps">
            <w:drawing>
              <wp:anchor behindDoc="0" distT="7747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are secured and the terms of such security; </w:t>
      </w:r>
      <w:r>
        <mc:AlternateContent>
          <mc:Choice Requires="wps">
            <w:drawing>
              <wp:anchor behindDoc="0" distT="7747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discount or premium, if any, with which the debt securities will be issued; </w:t>
      </w:r>
      <w:r>
        <mc:AlternateContent>
          <mc:Choice Requires="wps">
            <w:drawing>
              <wp:anchor behindDoc="0" distT="7747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covenants applicable to the particular debt securities being issued; </w:t>
      </w:r>
      <w:r>
        <mc:AlternateContent>
          <mc:Choice Requires="wps">
            <w:drawing>
              <wp:anchor behindDoc="0" distT="7747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additions or changes in the defaults and events of default applicable to the particular debt securities being issued; </w:t>
      </w:r>
      <w:r>
        <mc:AlternateContent>
          <mc:Choice Requires="wps">
            <w:drawing>
              <wp:anchor behindDoc="0" distT="7747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guarantors of each series, if any, and the extent of the guarantees (including provisions relating to seniority, subordination and release of the guarantees), if any; </w:t>
      </w:r>
      <w:r>
        <mc:AlternateContent>
          <mc:Choice Requires="wps">
            <w:drawing>
              <wp:anchor behindDoc="0" distT="7747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currencies or currency units in which the purchase price for, the principal of and any premium and any interest on, the debt securities will be payable; </w:t>
      </w:r>
      <w:r>
        <mc:AlternateContent>
          <mc:Choice Requires="wps">
            <w:drawing>
              <wp:anchor behindDoc="0" distT="7747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time period within which, the manner in which and the terms and conditions upon which we or the holders of the debt securities can select the payment currency; </w:t>
      </w:r>
      <w:r>
        <mc:AlternateContent>
          <mc:Choice Requires="wps">
            <w:drawing>
              <wp:anchor behindDoc="0" distT="0" distB="0" distL="254000" distR="0" simplePos="0" locked="0" layoutInCell="1" allowOverlap="1" relativeHeight="58">
                <wp:simplePos x="0" y="0"/>
                <wp:positionH relativeFrom="column">
                  <wp:align>left</wp:align>
                </wp:positionH>
                <wp:positionV relativeFrom="line">
                  <wp:posOffset>635</wp:posOffset>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obligation or right to redeem, purchase or repay debt securities under a sinking fund, amortization or analogous provision; </w:t>
      </w:r>
      <w:r>
        <mc:AlternateContent>
          <mc:Choice Requires="wps">
            <w:drawing>
              <wp:anchor behindDoc="0" distT="7239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restriction or conditions on the transferability of the debt securities; </w:t>
      </w:r>
      <w:r>
        <mc:AlternateContent>
          <mc:Choice Requires="wps">
            <w:drawing>
              <wp:anchor behindDoc="0" distT="7239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granting special rights to holders of the debt securities upon occurrence of specified events; </w:t>
      </w:r>
      <w:r>
        <mc:AlternateContent>
          <mc:Choice Requires="wps">
            <w:drawing>
              <wp:anchor behindDoc="0" distT="7239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additions or changes relating to compensation or reimbursement of the trustee of the series of debt securities; </w:t>
      </w:r>
      <w:r>
        <mc:AlternateContent>
          <mc:Choice Requires="wps">
            <w:drawing>
              <wp:anchor behindDoc="0" distT="7239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relating to the modification of the indenture both with and without the consent of holders of debt securities issued under the indenture and the execution of supplemental indentures for such series; and </w:t>
      </w:r>
      <w:r>
        <mc:AlternateContent>
          <mc:Choice Requires="wps">
            <w:drawing>
              <wp:anchor behindDoc="0" distT="7239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debt securities (which terms shall not be inconsistent with the provisions of the TIA, but may modify, amend, supplement or delete any of the terms of the indenture with respect to such series of debt securities). </w:t>
      </w:r>
      <w:r>
        <mc:AlternateContent>
          <mc:Choice Requires="wps">
            <w:drawing>
              <wp:anchor behindDoc="0" distT="7239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federal income tax consequences and special considerations, if any, applicable to any such series will be described in an accompanying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most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the debt securities shall be construed in accordance with and governed by the laws of the State of New York.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bDOW"/>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warrants for the purchase of shares of our Class A common stock, shares of preferred stock or our debt securities. We may issue warrants independently or together with other securities, and they may be attached to or separate from the other securities. Each series of warrants is expected to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relating to a particular issue of warrants will describe the terms of those warrants, including, when applicable: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price; </w:t>
      </w:r>
      <w:r>
        <mc:AlternateContent>
          <mc:Choice Requires="wps">
            <w:drawing>
              <wp:anchor behindDoc="0" distT="7620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or currencies, including composite currencies, in which the purchase price and/or exercise price of the warrants may be payable; </w:t>
      </w:r>
      <w:r>
        <mc:AlternateContent>
          <mc:Choice Requires="wps">
            <w:drawing>
              <wp:anchor behindDoc="0" distT="7620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warrants offered; </w:t>
      </w:r>
      <w:r>
        <mc:AlternateContent>
          <mc:Choice Requires="wps">
            <w:drawing>
              <wp:anchor behindDoc="0" distT="762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and the amount of securities you will receive upon exercise; </w:t>
      </w:r>
      <w:r>
        <mc:AlternateContent>
          <mc:Choice Requires="wps">
            <w:drawing>
              <wp:anchor behindDoc="0" distT="7620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procedure for exercise of the warrants and the circumstances, if any, that will cause the warrants to be automatically exercised; </w:t>
      </w:r>
      <w:r>
        <mc:AlternateContent>
          <mc:Choice Requires="wps">
            <w:drawing>
              <wp:anchor behindDoc="0" distT="7620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if any, we have to redeem the warrants; </w:t>
      </w:r>
      <w:r>
        <mc:AlternateContent>
          <mc:Choice Requires="wps">
            <w:drawing>
              <wp:anchor behindDoc="0" distT="7620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the warrants will commence and the date on which the warrants will expire; </w:t>
      </w:r>
      <w:r>
        <mc:AlternateContent>
          <mc:Choice Requires="wps">
            <w:drawing>
              <wp:anchor behindDoc="0" distT="7620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of the warrant agent; and </w:t>
      </w:r>
      <w:r>
        <mc:AlternateContent>
          <mc:Choice Requires="wps">
            <w:drawing>
              <wp:anchor behindDoc="0" distT="7620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material terms of the warrants. </w:t>
      </w:r>
      <w:r>
        <mc:AlternateContent>
          <mc:Choice Requires="wps">
            <w:drawing>
              <wp:anchor behindDoc="0" distT="7620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warrants expire they will become void. The prospectus supplement may provide for the adjustment of the exercise price of the warrants.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Warrants may be exercised at the appropriate office of the warrant agent or any other office indicated in an accompanying prospectus supplement. Before the exercise of warrants, holders will not have any of the rights of holders of the securities purchasable upon exercise and will not be entitled to payments made to holders of those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We urge you to read the applicable warrant agreement and any accompanying prospectus supplement in their entirety.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bDOSR"/>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SUBSCRIPTION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subscription rights to purchase shares of our Class A common stock, shares of our preferred stock or our debt securities. We may issue subscription rights independently or together with any other offered security, which may or may not be transferable by the stockholder.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relating to any subscription rights we may offer will contain the specific terms of the subscription rights. These terms may include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if any, for the subscription rights; </w:t>
      </w:r>
      <w:r>
        <mc:AlternateContent>
          <mc:Choice Requires="wps">
            <w:drawing>
              <wp:anchor behindDoc="0" distT="7620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and terms of each share of Class A common stock or preferred stock or debt securities which may be purchased per each subscription right; </w:t>
      </w:r>
      <w:r>
        <mc:AlternateContent>
          <mc:Choice Requires="wps">
            <w:drawing>
              <wp:anchor behindDoc="0" distT="7620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payable for each share of Class A common stock or preferred stock or debt securities upon the exercise of the subscription rights; </w:t>
      </w:r>
      <w:r>
        <mc:AlternateContent>
          <mc:Choice Requires="wps">
            <w:drawing>
              <wp:anchor behindDoc="0" distT="7620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to which the subscription rights are transferable; </w:t>
      </w:r>
      <w:r>
        <mc:AlternateContent>
          <mc:Choice Requires="wps">
            <w:drawing>
              <wp:anchor behindDoc="0" distT="7620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for adjustment of the number or amount of securities receivable upon exercise of the subscription rights or the exercise price of the subscription rights; </w:t>
      </w:r>
      <w:r>
        <mc:AlternateContent>
          <mc:Choice Requires="wps">
            <w:drawing>
              <wp:anchor behindDoc="0" distT="7620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subscription rights, including the terms, procedures and limitations relating to the exchange and exercise of the subscription rights; </w:t>
      </w:r>
      <w:r>
        <mc:AlternateContent>
          <mc:Choice Requires="wps">
            <w:drawing>
              <wp:anchor behindDoc="0" distT="7620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the subscription rights shall commence, and the date on which the subscription rights shall expire; </w:t>
      </w:r>
      <w:r>
        <mc:AlternateContent>
          <mc:Choice Requires="wps">
            <w:drawing>
              <wp:anchor behindDoc="0" distT="7620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to which the subscription rights may include an over-subscription privilege with respect to unsubscribed securities; and </w:t>
      </w:r>
      <w:r>
        <mc:AlternateContent>
          <mc:Choice Requires="wps">
            <w:drawing>
              <wp:anchor behindDoc="0" distT="7620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material terms of any standby underwriting or purchase arrangement entered into by us in connection with the offering of subscription rights. </w:t>
      </w:r>
      <w:r>
        <mc:AlternateContent>
          <mc:Choice Requires="wps">
            <w:drawing>
              <wp:anchor behindDoc="0" distT="7620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 in an accompanying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 For more information on how you can obtain copies of any subscription rights certificate or subscription rights agreement if we offer subscription rights, see “Where You Can Find More Information.” We urge you to read the applicable subscription rights certificate, the applicable subscription rights agreement and any accompanying prospectus supplement in their entirety.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bDOPC"/>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PURCHASE CONTRACTS AND PURCHASE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purchase contracts, including contracts obligating holders to purchase from us, and obligating us to sell to the holders, a specified number of shares of our Class A common stock, shares of our preferred stock or our debt securities at a future date or dates, which we refer to in this prospectus as purchase contracts. The price of the securities and the number of securities may be fixed at the time the purchase contracts are issued or may be determined by reference to a specific formula set forth in the purchase contracts, and may be subject to adjustment under anti-dilution formulas. The purchase contracts may be issued separately or as part of units consisting of a stock purchase contract and our debt securities or preferred securities or debt obligations of third parties, including U.S. treasury securities, or any combination of the foregoing, securing the holders’ obligations to purchase the securities under the purchase contracts, which we refer to herein as purchase units. The purchase contracts may require holders to secure their obligations under the purchase contracts in a specified manner. The purchase contracts also may require us to make periodic payments to the holders of the purchase contracts or the purchase units, as the case may be, or vice versa, and those payments may be unsecured or pre-funded in whole or in 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 in an accompanying prospectus supplement of any purchase contract or purchase unit we offer will not necessarily be complete and will be qualified in its entirety by reference to the applicable purchase contract or purchase unit, which will be filed with the SEC if we offer purchase contracts or purchase units. For more information on how you can obtain copies of any purchase contract or purchase unit we may offer, see “Where You Can Find More Information.” We urge you to read the applicable purchase contract or applicable purchase unit and any accompanying prospectus supplement in their entirety.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bSESE"/>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SECURITYHOLDERS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registers the possible resale by a stockholder of the Company, who we refer to as the “selling securityholder,” of up to 7,142,857 shares of our Class A common stock that were issued to the selling securityholder in a private placement transaction in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Information concerning the selling securityholder, including their identity, the number of shares of our Class A common stock beneficially owned by the selling securityholder, and the number of shares of Class A common stock being offered by the selling securityholder, will be set forth in a prospectus supplement, post-effective amendment to the registration statement of which this prospectus forms a part, or other filing we make with the SEC pursuant to Rule 430B under the Securities Act, as amended, prior to any offer or sale by such selling securityholder.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bPOD"/>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the selling securityholder, including their permitted pledgees, donees, transferees, assignees and successors-in-interest, may sell the securities being offered hereby in one or more of the following ways from time to time: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or through agents, dealers or underwriters; </w:t>
      </w:r>
      <w:r>
        <mc:AlternateContent>
          <mc:Choice Requires="wps">
            <w:drawing>
              <wp:anchor behindDoc="0" distT="7620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one or more purchasers; </w:t>
      </w:r>
      <w:r>
        <mc:AlternateContent>
          <mc:Choice Requires="wps">
            <w:drawing>
              <wp:anchor behindDoc="0" distT="7620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ordinary brokerage transactions and transactions in which the broker-dealer solicits purchasers; </w:t>
      </w:r>
      <w:r>
        <mc:AlternateContent>
          <mc:Choice Requires="wps">
            <w:drawing>
              <wp:anchor behindDoc="0" distT="7620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an exchange distribution in accordance with the rules of the applicable exchange; </w:t>
      </w:r>
      <w:r>
        <mc:AlternateContent>
          <mc:Choice Requires="wps">
            <w:drawing>
              <wp:anchor behindDoc="0" distT="7620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pledge to secure debts and other obligations; </w:t>
      </w:r>
      <w:r>
        <mc:AlternateContent>
          <mc:Choice Requires="wps">
            <w:drawing>
              <wp:anchor behindDoc="0" distT="7620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block trades in which the broker-dealer will attempt to sell the shares as agent but may position and resell a portion of the block as principal to facilitate the transaction; </w:t>
      </w:r>
      <w:r>
        <mc:AlternateContent>
          <mc:Choice Requires="wps">
            <w:drawing>
              <wp:anchor behindDoc="0" distT="7620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purchases by a broker-dealer as principal and resale by the broker-dealer for its account; </w:t>
      </w:r>
      <w:r>
        <mc:AlternateContent>
          <mc:Choice Requires="wps">
            <w:drawing>
              <wp:anchor behindDoc="0" distT="7620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privately negotiated transactions; </w:t>
      </w:r>
      <w:r>
        <mc:AlternateContent>
          <mc:Choice Requires="wps">
            <w:drawing>
              <wp:anchor behindDoc="0" distT="7620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these methods; or </w:t>
      </w:r>
      <w:r>
        <mc:AlternateContent>
          <mc:Choice Requires="wps">
            <w:drawing>
              <wp:anchor behindDoc="0" distT="7620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any other method permitted pursuant to applicable law. </w:t>
      </w:r>
      <w:r>
        <mc:AlternateContent>
          <mc:Choice Requires="wps">
            <w:drawing>
              <wp:anchor behindDoc="0" distT="7620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the selling securityholder or others to settle such sales and may use securities received from us to close out any related short positions. We or the selling securityholder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and/or the selling securityholder will identify the specific plan of distribution, including any underwriters, dealers, agents or direct purchasers and their compensation in a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bLEMA"/>
      <w:bookmarkEnd w:id="18"/>
      <w:r>
        <w:rPr>
          <w:rFonts w:ascii="calibri;arial;sans-serif" w:hAnsi="calibri;arial;sans-serif"/>
          <w:b w:val="false"/>
          <w:i w:val="false"/>
          <w:caps w:val="false"/>
          <w:smallCaps w:val="false"/>
          <w:color w:val="000000"/>
          <w:sz w:val="16"/>
        </w:rPr>
        <w:t>​</w:t>
      </w:r>
      <w:bookmarkStart w:id="19" w:name="bEXP"/>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any accompanying prospectus supplement, the validity of any shares of Class A common stock and preferred stock offered hereby under Nevada law will be passed upon for us by Brownstein Hyatt Farber Schreck, LLP, our Nevada counsel, and the validity of any depositary shares, debt securities, warrants, subscription rights, purchase contracts and purchase units offered hereby will be passed upon for us by Skadden, Arps, Slate, Meagher &amp; Flom LLP, who may also provide opinions regarding certain other matters. Any underwriters, dealers or agents will be advised about legal matters by their own counsel, which will be named in an accompanying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consolidated financial statements of Gemini Space Station Inc.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14.   Other Expenses of Issuance and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expenses to be borne by the registrant in connection with the offerings described in this registration statement. </w:t>
      </w:r>
    </w:p>
    <w:tbl>
      <w:tblPr>
        <w:tblW w:w="6556" w:type="dxa"/>
        <w:jc w:val="left"/>
        <w:tblInd w:w="1393" w:type="dxa"/>
        <w:tblLayout w:type="fixed"/>
        <w:tblCellMar>
          <w:top w:w="0" w:type="dxa"/>
          <w:left w:w="0" w:type="dxa"/>
          <w:bottom w:w="0" w:type="dxa"/>
          <w:right w:w="0" w:type="dxa"/>
        </w:tblCellMar>
      </w:tblPr>
      <w:tblGrid>
        <w:gridCol w:w="124"/>
        <w:gridCol w:w="4490"/>
        <w:gridCol w:w="109"/>
        <w:gridCol w:w="109"/>
        <w:gridCol w:w="109"/>
        <w:gridCol w:w="226"/>
        <w:gridCol w:w="112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4490" w:type="dxa"/>
            <w:tcBorders/>
            <w:shd w:fill="CCEEFF" w:val="cle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26" w:type="dxa"/>
            <w:tcBorders/>
            <w:shd w:fill="CCEEFF" w:val="clear"/>
            <w:vAlign w:val="center"/>
          </w:tcPr>
          <w:p>
            <w:pPr>
              <w:pStyle w:val="TableContents"/>
              <w:bidi w:val="0"/>
              <w:spacing w:before="0" w:after="283"/>
              <w:jc w:val="right"/>
              <w:rPr/>
            </w:pPr>
            <w:r>
              <w:rPr/>
              <w:t xml:space="preserve">12,012.21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0"/>
              <w:jc w:val="left"/>
              <w:rPr>
                <w:spacing w:val="4"/>
              </w:rPr>
            </w:pPr>
            <w:r>
              <w:rPr>
                <w:spacing w:val="4"/>
              </w:rPr>
              <w:t xml:space="preserve">FINRA filing fee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26" w:type="dxa"/>
            <w:tcBorders/>
            <w:vAlign w:val="center"/>
          </w:tcPr>
          <w:p>
            <w:pPr>
              <w:pStyle w:val="TableContents"/>
              <w:bidi w:val="0"/>
              <w:spacing w:before="0" w:after="283"/>
              <w:jc w:val="right"/>
              <w:rPr/>
            </w:pPr>
            <w:r>
              <w:rPr/>
              <w: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490" w:type="dxa"/>
            <w:tcBorders/>
            <w:shd w:fill="CCEEFF" w:val="clear"/>
            <w:vAlign w:val="center"/>
          </w:tcPr>
          <w:p>
            <w:pPr>
              <w:pStyle w:val="TableContents"/>
              <w:bidi w:val="0"/>
              <w:spacing w:before="0" w:after="0"/>
              <w:jc w:val="left"/>
              <w:rPr>
                <w:spacing w:val="4"/>
              </w:rPr>
            </w:pPr>
            <w:r>
              <w:rPr>
                <w:spacing w:val="4"/>
              </w:rPr>
              <w:t xml:space="preserve">Printing and engraving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26" w:type="dxa"/>
            <w:tcBorders/>
            <w:shd w:fill="CCEEFF" w:val="clear"/>
            <w:vAlign w:val="center"/>
          </w:tcPr>
          <w:p>
            <w:pPr>
              <w:pStyle w:val="TableContents"/>
              <w:bidi w:val="0"/>
              <w:spacing w:before="0" w:after="283"/>
              <w:jc w:val="right"/>
              <w:rPr/>
            </w:pPr>
            <w:r>
              <w:rPr/>
              <w:t>​</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0"/>
              <w:jc w:val="left"/>
              <w:rPr>
                <w:spacing w:val="4"/>
              </w:rPr>
            </w:pPr>
            <w:r>
              <w:rPr>
                <w:spacing w:val="4"/>
              </w:rPr>
              <w:t xml:space="preserve">Legal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26" w:type="dxa"/>
            <w:tcBorders/>
            <w:vAlign w:val="center"/>
          </w:tcPr>
          <w:p>
            <w:pPr>
              <w:pStyle w:val="TableContents"/>
              <w:bidi w:val="0"/>
              <w:spacing w:before="0" w:after="283"/>
              <w:jc w:val="right"/>
              <w:rPr/>
            </w:pPr>
            <w:r>
              <w:rPr/>
              <w: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490" w:type="dxa"/>
            <w:tcBorders/>
            <w:shd w:fill="CCEEFF" w:val="clear"/>
            <w:vAlign w:val="center"/>
          </w:tcPr>
          <w:p>
            <w:pPr>
              <w:pStyle w:val="TableContents"/>
              <w:bidi w:val="0"/>
              <w:spacing w:before="0" w:after="0"/>
              <w:jc w:val="left"/>
              <w:rPr>
                <w:spacing w:val="4"/>
              </w:rPr>
            </w:pPr>
            <w:r>
              <w:rPr>
                <w:spacing w:val="4"/>
              </w:rPr>
              <w:t xml:space="preserve">Accounting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26" w:type="dxa"/>
            <w:tcBorders/>
            <w:shd w:fill="CCEEFF" w:val="clear"/>
            <w:vAlign w:val="center"/>
          </w:tcPr>
          <w:p>
            <w:pPr>
              <w:pStyle w:val="TableContents"/>
              <w:bidi w:val="0"/>
              <w:spacing w:before="0" w:after="283"/>
              <w:jc w:val="right"/>
              <w:rPr/>
            </w:pPr>
            <w:r>
              <w:rPr/>
              <w:t>​</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0"/>
              <w:jc w:val="left"/>
              <w:rPr>
                <w:spacing w:val="4"/>
              </w:rPr>
            </w:pPr>
            <w:r>
              <w:rPr>
                <w:spacing w:val="4"/>
              </w:rPr>
              <w:t xml:space="preserve">Transfer agent and trustee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26" w:type="dxa"/>
            <w:tcBorders/>
            <w:vAlign w:val="center"/>
          </w:tcPr>
          <w:p>
            <w:pPr>
              <w:pStyle w:val="TableContents"/>
              <w:bidi w:val="0"/>
              <w:spacing w:before="0" w:after="283"/>
              <w:jc w:val="right"/>
              <w:rPr/>
            </w:pPr>
            <w:r>
              <w:rPr/>
              <w: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490" w:type="dxa"/>
            <w:tcBorders/>
            <w:shd w:fill="CCEEFF" w:val="clear"/>
            <w:vAlign w:val="center"/>
          </w:tcPr>
          <w:p>
            <w:pPr>
              <w:pStyle w:val="TableContents"/>
              <w:bidi w:val="0"/>
              <w:spacing w:before="0" w:after="0"/>
              <w:jc w:val="left"/>
              <w:rPr>
                <w:spacing w:val="4"/>
              </w:rPr>
            </w:pPr>
            <w:r>
              <w:rPr>
                <w:spacing w:val="4"/>
              </w:rPr>
              <w:t xml:space="preserve">Rating agency fees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26" w:type="dxa"/>
            <w:tcBorders/>
            <w:shd w:fill="CCEEFF" w:val="clear"/>
            <w:vAlign w:val="center"/>
          </w:tcPr>
          <w:p>
            <w:pPr>
              <w:pStyle w:val="TableContents"/>
              <w:bidi w:val="0"/>
              <w:spacing w:before="0" w:after="283"/>
              <w:jc w:val="right"/>
              <w:rPr/>
            </w:pPr>
            <w:r>
              <w:rPr/>
              <w:t>​</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0"/>
              <w:jc w:val="left"/>
              <w:rPr>
                <w:spacing w:val="4"/>
              </w:rPr>
            </w:pPr>
            <w:r>
              <w:rPr>
                <w:spacing w:val="4"/>
              </w:rPr>
              <w:t xml:space="preserve">Stock exchange listing fees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26" w:type="dxa"/>
            <w:tcBorders/>
            <w:vAlign w:val="center"/>
          </w:tcPr>
          <w:p>
            <w:pPr>
              <w:pStyle w:val="TableContents"/>
              <w:bidi w:val="0"/>
              <w:spacing w:before="0" w:after="283"/>
              <w:jc w:val="right"/>
              <w:rPr/>
            </w:pPr>
            <w:r>
              <w:rPr/>
              <w: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4490"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Miscellaneous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0"/>
              <w:jc w:val="left"/>
              <w:rPr>
                <w:spacing w:val="4"/>
              </w:rPr>
            </w:pPr>
            <w:r>
              <w:rPr>
                <w:spacing w:val="4"/>
              </w:rPr>
              <w:t xml:space="preserve">Total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26" w:type="dxa"/>
            <w:tcBorders>
              <w:bottom w:val="double" w:sz="8" w:space="0" w:color="000000"/>
            </w:tcBorders>
            <w:tcMar>
              <w:bottom w:w="50" w:type="dxa"/>
            </w:tcMar>
            <w:vAlign w:val="center"/>
          </w:tcPr>
          <w:p>
            <w:pPr>
              <w:pStyle w:val="TableContents"/>
              <w:bidi w:val="0"/>
              <w:spacing w:before="0" w:after="283"/>
              <w:jc w:val="right"/>
              <w:rPr/>
            </w:pPr>
            <w:r>
              <w:rPr/>
              <w:t>   </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fees and expenses depend on the securities offered and the number of issuances, and accordingly cannot be estimated at this time and will be reflected in the applicable prospectus supplement. </w:t>
      </w:r>
      <w:r>
        <mc:AlternateContent>
          <mc:Choice Requires="wps">
            <w:drawing>
              <wp:anchor behindDoc="0" distT="99060" distB="0" distL="0" distR="0" simplePos="0" locked="0" layoutInCell="1" allowOverlap="1" relativeHeight="93">
                <wp:simplePos x="0" y="0"/>
                <wp:positionH relativeFrom="column">
                  <wp:align>left</wp:align>
                </wp:positionH>
                <wp:positionV relativeFrom="line">
                  <wp:posOffset>635</wp:posOffset>
                </wp:positionV>
                <wp:extent cx="254000" cy="14605"/>
                <wp:effectExtent l="0" t="0" r="0" b="0"/>
                <wp:wrapSquare wrapText="right"/>
                <wp:docPr id="91" name="Frame90"/>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7.8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15.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Nevada Revised Statutes (“NRS”) 78.138(7) provides that, subject to limited statutory exceptions and unless the articles of incorporation or an amendment thereto (in each case filed on or after October 1, 2003) provide for greater individual liability, a director or officer is not individually liable to a corporation or its stockholders or creditors for any damages as a result of any act or failure to act in his or her capacity as a director or officer unless the presumption of Nevada’s “business judgment rule” ​(as codified in NRS 78.138(3)) has been rebutted and it is proven that: (i) the director’s or officer’s act or failure to act constituted a breach of his or her fiduciary duties as a director or officer and (ii) the breach of those duties involved intentional misconduct, fraud or a knowing violation of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NRS 78.7502(1) permits a corporation to indemnify, pursuant to that statutory provision, a present or former director, officer, employee or agent of the corporation, or of another entity or enterprise (including as a manager of a limited liability company), for which such person is or was serving in such capacity at the request of the corporation, who was or is a party or is threatened to be made a party to any threatened, pending or completed action, suit or proceeding, except an action by or in the right of the corporation, against expenses, including attorneys’ fees, judgments, fines and amounts paid in settlement actually and reasonably incurred in connection therewith, arising by reason of such person’s service in such capacity if such person (i) is not liable pursuant to NRS 78.138, or (ii) acted in good faith and in a manner which he or she reasonably believed to be in or not opposed to the best interests of the corporation and, with respect to a criminal action or proceeding, had no reasonable cause to believe his or her conduct was unlawful. In the case of actions brought by or in the right of the corporation, however, no indemnification pursuant to NRS 78.7502(2) may be made for any claim, issue or matter as to which such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such person is fairly and reasonably entitled to indemnity for such expenses as the court deems proper.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discretionary indemnification pursuant to the statutory provisions of NRS 78.7502, unless ordered by a court or advanced pursuant to NRS 78.751(2), may be made by a corporation only as authorized in each specific case upon a determination that indemnification of the director, officer, employee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agent is proper in the circumstances. Such determination must be made (i) by the stockholders, (ii) by the board of directors by majority vote of a quorum consisting of directors who were not parties to the action, suit or proceeding, (iii) if a majority vote of a quorum consisting of directors who were not parties to the action, suit or proceeding so orders, by independent legal counsel in a written opinion, or (iv) if a quorum consisting of directors who were not parties to the action, suit or proceeding cannot be obtained, by independent legal counsel in a written opinion.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NRS 78.751 further provides that indemnification pursuant to the statutory mechanism provided under NRS 78.7502 does not exclude any other rights to which a person seeking indemnification or advancement of expenses may be entitled under the Registrant’s articles of incorporation, or any bylaw, agreement, vote of stockholders or disinterested directors or otherwise, for either an action in the person’s official capacity or an action in another capacity while holding office, except that indemnification, unless ordered by a court pursuant to NRS 78.7502 or for the advancement of expenses, may not be made to or on behalf of any director or officer finally adjudged by a court of competent jurisdiction, after exhaustion of any appeals, to be liable for intentional misconduct, fraud or a knowing violation of law, and such misconduct, fraud, or violation was material to the cause of action. Pursuant to NRS 78.751(5), a right to indemnification or to advancement of expenses arising under a provision of the articles of incorporation or any bylaw is not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 or omission has occurred.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Registrant’s Bylaws provide that the Registrant must indemnify its directors and officers in their respective capacities as such and in any and all other capacities in which any of them serves at our request to the fullest extent permitted by law. The Registrant is also expressly authorized to advance certain expenses (including attorneys’ fees) to its directors and officers and carry directors’ and officers’ insurance providing for indemnification of its directors and officers for some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Registrant has also entered into indemnification agreements with each of its directors and officers that provide for, among other things, indemnification to the fullest extent permitted by law against any and all expenses, judgments, fines, penalties, and amounts paid in settlement (with the Registrant’s consent) of any threatened, pending, or completed action, suit, or proceeding, whether civil, criminal, administrative, or investigative. The indemnification agreements provide for the advancement or payment of all expenses to the Registrant’s directors and officers and for reimbursement of such advanced expenses to the Registrant if it is found that such director or officer is not entitled to such indemnification under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Registrant has obtained a general liability insurance policy that covers certain liabilities of its directors and officers arising out of claims based on acts or omissions in their capacities as directors or officers.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may be permitted to the Registrant, its directors, its officers, or persons who control the Registrant pursuant to the foregoing provisions, the Registrant has been informed that, in the opinion of the SEC, such indemnification is against public policy as expressed in the Securities Act and is therefore unenforceable.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16.   List of Exhibits.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exhibits to this registration statement are incorporated by reference herein. </w:t>
      </w:r>
    </w:p>
    <w:tbl>
      <w:tblPr>
        <w:tblW w:w="8812" w:type="dxa"/>
        <w:jc w:val="left"/>
        <w:tblInd w:w="1393" w:type="dxa"/>
        <w:tblLayout w:type="fixed"/>
        <w:tblCellMar>
          <w:top w:w="0" w:type="dxa"/>
          <w:left w:w="0" w:type="dxa"/>
          <w:bottom w:w="50" w:type="dxa"/>
          <w:right w:w="0" w:type="dxa"/>
        </w:tblCellMar>
      </w:tblPr>
      <w:tblGrid>
        <w:gridCol w:w="1226"/>
        <w:gridCol w:w="109"/>
        <w:gridCol w:w="109"/>
        <w:gridCol w:w="7213"/>
        <w:gridCol w:w="155"/>
      </w:tblGrid>
      <w:tr>
        <w:trPr/>
        <w:tc>
          <w:tcPr>
            <w:tcW w:w="1226" w:type="dxa"/>
            <w:tcBorders>
              <w:bottom w:val="single" w:sz="2" w:space="0" w:color="000000"/>
            </w:tcBorders>
            <w:vAlign w:val="center"/>
          </w:tcPr>
          <w:p>
            <w:pPr>
              <w:pStyle w:val="TableContents"/>
              <w:bidi w:val="0"/>
              <w:spacing w:before="0" w:after="0"/>
              <w:jc w:val="left"/>
              <w:rPr>
                <w:spacing w:val="-3"/>
              </w:rPr>
            </w:pPr>
            <w:r>
              <w:rPr>
                <w:spacing w:val="-3"/>
              </w:rPr>
              <w:t xml:space="preserve">Exhibit No.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213" w:type="dxa"/>
            <w:tcBorders>
              <w:bottom w:val="single" w:sz="2" w:space="0" w:color="000000"/>
            </w:tcBorders>
            <w:vAlign w:val="center"/>
          </w:tcPr>
          <w:p>
            <w:pPr>
              <w:pStyle w:val="TableContents"/>
              <w:bidi w:val="0"/>
              <w:spacing w:before="0" w:after="0"/>
              <w:jc w:val="center"/>
              <w:rPr>
                <w:spacing w:val="-3"/>
              </w:rPr>
            </w:pPr>
            <w:r>
              <w:rPr>
                <w:spacing w:val="-3"/>
              </w:rPr>
              <w:t xml:space="preserve">Description of Exhibits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26" w:type="dxa"/>
            <w:tcBorders/>
            <w:tcMar>
              <w:bottom w:w="0" w:type="dxa"/>
            </w:tcMar>
            <w:vAlign w:val="center"/>
          </w:tcPr>
          <w:p>
            <w:pPr>
              <w:pStyle w:val="TableContents"/>
              <w:bidi w:val="0"/>
              <w:spacing w:before="0" w:after="283"/>
              <w:ind w:left="100" w:right="0" w:hanging="0"/>
              <w:jc w:val="left"/>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13" w:type="dxa"/>
            <w:tcBorders/>
            <w:tcMar>
              <w:bottom w:w="0" w:type="dxa"/>
            </w:tcMar>
            <w:vAlign w:val="center"/>
          </w:tcPr>
          <w:p>
            <w:pPr>
              <w:pStyle w:val="TableContents"/>
              <w:bidi w:val="0"/>
              <w:spacing w:before="0" w:after="283"/>
              <w:jc w:val="left"/>
              <w:rPr/>
            </w:pPr>
            <w:hyperlink r:id="rId11">
              <w:r>
                <w:rPr>
                  <w:rStyle w:val="InternetLink"/>
                </w:rPr>
                <w:t>Amended and Restated Articles of Incorporation of Gemini Space Station, Inc. (incorporated by reference to Exhibit 3.1 of the registrant’s Current Report on Form 8-K filed on September 15, 2025).</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26" w:type="dxa"/>
            <w:tcBorders/>
            <w:tcMar>
              <w:bottom w:w="0" w:type="dxa"/>
            </w:tcMar>
            <w:vAlign w:val="center"/>
          </w:tcPr>
          <w:p>
            <w:pPr>
              <w:pStyle w:val="TableContents"/>
              <w:bidi w:val="0"/>
              <w:spacing w:before="0" w:after="283"/>
              <w:ind w:left="100" w:right="0" w:hanging="0"/>
              <w:jc w:val="left"/>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13" w:type="dxa"/>
            <w:tcBorders/>
            <w:tcMar>
              <w:bottom w:w="0" w:type="dxa"/>
            </w:tcMar>
            <w:vAlign w:val="center"/>
          </w:tcPr>
          <w:p>
            <w:pPr>
              <w:pStyle w:val="TableContents"/>
              <w:bidi w:val="0"/>
              <w:spacing w:before="0" w:after="0"/>
              <w:jc w:val="left"/>
              <w:rPr/>
            </w:pPr>
            <w:hyperlink r:id="rId12">
              <w:r>
                <w:rPr>
                  <w:rStyle w:val="InternetLink"/>
                  <w:spacing w:val="4"/>
                </w:rPr>
                <w:t>Amended and Restated Bylaws of Gemini Space Station, Inc. (incorporated by reference to Exhibit 3.2 of the registrant’s Current Report on Form 8-K filed on September 15, 2025).</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26" w:type="dxa"/>
            <w:tcBorders/>
            <w:tcMar>
              <w:bottom w:w="0" w:type="dxa"/>
            </w:tcMar>
            <w:vAlign w:val="center"/>
          </w:tcPr>
          <w:p>
            <w:pPr>
              <w:pStyle w:val="TableContents"/>
              <w:bidi w:val="0"/>
              <w:spacing w:before="0" w:after="283"/>
              <w:ind w:left="100" w:right="0" w:hanging="0"/>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13" w:type="dxa"/>
            <w:tcBorders/>
            <w:tcMar>
              <w:bottom w:w="0" w:type="dxa"/>
            </w:tcMar>
            <w:vAlign w:val="center"/>
          </w:tcPr>
          <w:p>
            <w:pPr>
              <w:pStyle w:val="TableContents"/>
              <w:bidi w:val="0"/>
              <w:spacing w:before="0" w:after="283"/>
              <w:jc w:val="left"/>
              <w:rPr>
                <w:spacing w:val="4"/>
              </w:rPr>
            </w:pPr>
            <w:r>
              <w:rPr>
                <w:spacing w:val="4"/>
              </w:rPr>
              <w:t xml:space="preserve">Form of Certificate of Designations with respect to any preferred stock issued hereunder.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222"/>
        <w:gridCol w:w="109"/>
        <w:gridCol w:w="109"/>
        <w:gridCol w:w="7217"/>
        <w:gridCol w:w="155"/>
      </w:tblGrid>
      <w:tr>
        <w:trPr/>
        <w:tc>
          <w:tcPr>
            <w:tcW w:w="1222" w:type="dxa"/>
            <w:tcBorders>
              <w:bottom w:val="single" w:sz="2" w:space="0" w:color="000000"/>
            </w:tcBorders>
            <w:vAlign w:val="center"/>
          </w:tcPr>
          <w:p>
            <w:pPr>
              <w:pStyle w:val="TableContents"/>
              <w:bidi w:val="0"/>
              <w:spacing w:before="0" w:after="0"/>
              <w:jc w:val="both"/>
              <w:rPr>
                <w:spacing w:val="-3"/>
              </w:rPr>
            </w:pPr>
            <w:r>
              <w:rPr>
                <w:spacing w:val="-3"/>
              </w:rPr>
              <w:t xml:space="preserve">Exhibit No.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217" w:type="dxa"/>
            <w:tcBorders>
              <w:bottom w:val="single" w:sz="2" w:space="0" w:color="000000"/>
            </w:tcBorders>
            <w:vAlign w:val="center"/>
          </w:tcPr>
          <w:p>
            <w:pPr>
              <w:pStyle w:val="TableContents"/>
              <w:bidi w:val="0"/>
              <w:spacing w:before="0" w:after="0"/>
              <w:jc w:val="center"/>
              <w:rPr>
                <w:spacing w:val="-3"/>
              </w:rPr>
            </w:pPr>
            <w:r>
              <w:rPr>
                <w:spacing w:val="-3"/>
              </w:rPr>
              <w:t xml:space="preserve">Description of Exhibits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22" w:type="dxa"/>
            <w:tcBorders/>
            <w:tcMar>
              <w:bottom w:w="0" w:type="dxa"/>
            </w:tcMar>
            <w:vAlign w:val="center"/>
          </w:tcPr>
          <w:p>
            <w:pPr>
              <w:pStyle w:val="TableContents"/>
              <w:bidi w:val="0"/>
              <w:spacing w:before="0" w:after="283"/>
              <w:ind w:left="100" w:right="0" w:hanging="0"/>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17" w:type="dxa"/>
            <w:tcBorders/>
            <w:tcMar>
              <w:bottom w:w="0" w:type="dxa"/>
            </w:tcMar>
            <w:vAlign w:val="center"/>
          </w:tcPr>
          <w:p>
            <w:pPr>
              <w:pStyle w:val="TableContents"/>
              <w:bidi w:val="0"/>
              <w:spacing w:before="0" w:after="283"/>
              <w:jc w:val="left"/>
              <w:rPr>
                <w:spacing w:val="4"/>
              </w:rPr>
            </w:pPr>
            <w:r>
              <w:rPr>
                <w:spacing w:val="4"/>
              </w:rPr>
              <w:t xml:space="preserve">Form of Depositary Agreement (including form of Depositary Receipt). </w:t>
            </w:r>
          </w:p>
        </w:tc>
        <w:tc>
          <w:tcPr>
            <w:tcW w:w="155" w:type="dxa"/>
            <w:tcBorders/>
            <w:tcMar>
              <w:bottom w:w="0" w:type="dxa"/>
            </w:tcMar>
            <w:vAlign w:val="center"/>
          </w:tcPr>
          <w:p>
            <w:pPr>
              <w:pStyle w:val="TableContents"/>
              <w:bidi w:val="0"/>
              <w:spacing w:before="0" w:after="283"/>
              <w:jc w:val="left"/>
              <w:rPr/>
            </w:pPr>
            <w:r>
              <w:rPr/>
              <w:t>​</w:t>
            </w:r>
          </w:p>
        </w:tc>
      </w:tr>
      <w:tr>
        <w:trPr/>
        <w:tc>
          <w:tcPr>
            <w:tcW w:w="1222" w:type="dxa"/>
            <w:tcBorders/>
            <w:tcMar>
              <w:bottom w:w="0" w:type="dxa"/>
            </w:tcMar>
            <w:vAlign w:val="center"/>
          </w:tcPr>
          <w:p>
            <w:pPr>
              <w:pStyle w:val="TableContents"/>
              <w:bidi w:val="0"/>
              <w:spacing w:before="0" w:after="283"/>
              <w:ind w:left="100" w:right="0" w:hanging="0"/>
              <w:jc w:val="left"/>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17" w:type="dxa"/>
            <w:tcBorders/>
            <w:tcMar>
              <w:bottom w:w="0" w:type="dxa"/>
            </w:tcMar>
            <w:vAlign w:val="center"/>
          </w:tcPr>
          <w:p>
            <w:pPr>
              <w:pStyle w:val="TableContents"/>
              <w:bidi w:val="0"/>
              <w:spacing w:before="0" w:after="0"/>
              <w:jc w:val="left"/>
              <w:rPr/>
            </w:pPr>
            <w:hyperlink w:anchor="tm2626033d2_ex4-3.htm">
              <w:r>
                <w:rPr>
                  <w:rStyle w:val="InternetLink"/>
                  <w:spacing w:val="4"/>
                </w:rPr>
                <w:t>Form of Indenture for debt securities between registrant and the trustee to be named therein.</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22" w:type="dxa"/>
            <w:tcBorders/>
            <w:tcMar>
              <w:bottom w:w="0" w:type="dxa"/>
            </w:tcMar>
            <w:vAlign w:val="center"/>
          </w:tcPr>
          <w:p>
            <w:pPr>
              <w:pStyle w:val="TableContents"/>
              <w:bidi w:val="0"/>
              <w:spacing w:before="0" w:after="283"/>
              <w:ind w:left="100" w:right="0" w:hanging="0"/>
              <w:jc w:val="left"/>
              <w:rPr>
                <w:spacing w:val="4"/>
              </w:rPr>
            </w:pPr>
            <w:r>
              <w:rPr>
                <w:spacing w:val="4"/>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17" w:type="dxa"/>
            <w:tcBorders/>
            <w:tcMar>
              <w:bottom w:w="0" w:type="dxa"/>
            </w:tcMar>
            <w:vAlign w:val="center"/>
          </w:tcPr>
          <w:p>
            <w:pPr>
              <w:pStyle w:val="TableContents"/>
              <w:bidi w:val="0"/>
              <w:spacing w:before="0" w:after="283"/>
              <w:jc w:val="left"/>
              <w:rPr>
                <w:spacing w:val="4"/>
              </w:rPr>
            </w:pPr>
            <w:r>
              <w:rPr>
                <w:spacing w:val="4"/>
              </w:rPr>
              <w:t xml:space="preserve">Form of Warrant Agreement (including form of Warrant Certificate). </w:t>
            </w:r>
          </w:p>
        </w:tc>
        <w:tc>
          <w:tcPr>
            <w:tcW w:w="155" w:type="dxa"/>
            <w:tcBorders/>
            <w:tcMar>
              <w:bottom w:w="0" w:type="dxa"/>
            </w:tcMar>
            <w:vAlign w:val="center"/>
          </w:tcPr>
          <w:p>
            <w:pPr>
              <w:pStyle w:val="TableContents"/>
              <w:bidi w:val="0"/>
              <w:spacing w:before="0" w:after="283"/>
              <w:jc w:val="left"/>
              <w:rPr/>
            </w:pPr>
            <w:r>
              <w:rPr/>
              <w:t>​</w:t>
            </w:r>
          </w:p>
        </w:tc>
      </w:tr>
      <w:tr>
        <w:trPr/>
        <w:tc>
          <w:tcPr>
            <w:tcW w:w="1222" w:type="dxa"/>
            <w:tcBorders/>
            <w:tcMar>
              <w:bottom w:w="0" w:type="dxa"/>
            </w:tcMar>
            <w:vAlign w:val="center"/>
          </w:tcPr>
          <w:p>
            <w:pPr>
              <w:pStyle w:val="TableContents"/>
              <w:bidi w:val="0"/>
              <w:spacing w:before="0" w:after="283"/>
              <w:ind w:left="100" w:right="0" w:hanging="0"/>
              <w:jc w:val="left"/>
              <w:rPr>
                <w:spacing w:val="4"/>
              </w:rPr>
            </w:pPr>
            <w:r>
              <w:rPr>
                <w:spacing w:val="4"/>
              </w:rPr>
              <w:t xml:space="preserve">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17" w:type="dxa"/>
            <w:tcBorders/>
            <w:tcMar>
              <w:bottom w:w="0" w:type="dxa"/>
            </w:tcMar>
            <w:vAlign w:val="center"/>
          </w:tcPr>
          <w:p>
            <w:pPr>
              <w:pStyle w:val="TableContents"/>
              <w:bidi w:val="0"/>
              <w:spacing w:before="0" w:after="283"/>
              <w:jc w:val="left"/>
              <w:rPr>
                <w:spacing w:val="4"/>
              </w:rPr>
            </w:pPr>
            <w:r>
              <w:rPr>
                <w:spacing w:val="4"/>
              </w:rPr>
              <w:t xml:space="preserve">Form of Subscription Rights Agreement (including form of Subscription Rights Certificate). </w:t>
            </w:r>
          </w:p>
        </w:tc>
        <w:tc>
          <w:tcPr>
            <w:tcW w:w="155" w:type="dxa"/>
            <w:tcBorders/>
            <w:tcMar>
              <w:bottom w:w="0" w:type="dxa"/>
            </w:tcMar>
            <w:vAlign w:val="center"/>
          </w:tcPr>
          <w:p>
            <w:pPr>
              <w:pStyle w:val="TableContents"/>
              <w:bidi w:val="0"/>
              <w:spacing w:before="0" w:after="283"/>
              <w:jc w:val="left"/>
              <w:rPr/>
            </w:pPr>
            <w:r>
              <w:rPr/>
              <w:t>​</w:t>
            </w:r>
          </w:p>
        </w:tc>
      </w:tr>
      <w:tr>
        <w:trPr/>
        <w:tc>
          <w:tcPr>
            <w:tcW w:w="1222" w:type="dxa"/>
            <w:tcBorders/>
            <w:tcMar>
              <w:bottom w:w="0" w:type="dxa"/>
            </w:tcMar>
            <w:vAlign w:val="center"/>
          </w:tcPr>
          <w:p>
            <w:pPr>
              <w:pStyle w:val="TableContents"/>
              <w:bidi w:val="0"/>
              <w:spacing w:before="0" w:after="283"/>
              <w:ind w:left="100" w:right="0" w:hanging="0"/>
              <w:jc w:val="left"/>
              <w:rPr>
                <w:spacing w:val="4"/>
              </w:rPr>
            </w:pPr>
            <w:r>
              <w:rPr>
                <w:spacing w:val="4"/>
              </w:rPr>
              <w:t xml:space="preserve">4.6*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17" w:type="dxa"/>
            <w:tcBorders/>
            <w:tcMar>
              <w:bottom w:w="0" w:type="dxa"/>
            </w:tcMar>
            <w:vAlign w:val="center"/>
          </w:tcPr>
          <w:p>
            <w:pPr>
              <w:pStyle w:val="TableContents"/>
              <w:bidi w:val="0"/>
              <w:spacing w:before="0" w:after="283"/>
              <w:jc w:val="left"/>
              <w:rPr>
                <w:spacing w:val="4"/>
              </w:rPr>
            </w:pPr>
            <w:r>
              <w:rPr>
                <w:spacing w:val="4"/>
              </w:rPr>
              <w:t xml:space="preserve">Form of Purchase Contract Agreement (including form of Purchase Contract Certificate). </w:t>
            </w:r>
          </w:p>
        </w:tc>
        <w:tc>
          <w:tcPr>
            <w:tcW w:w="155" w:type="dxa"/>
            <w:tcBorders/>
            <w:tcMar>
              <w:bottom w:w="0" w:type="dxa"/>
            </w:tcMar>
            <w:vAlign w:val="center"/>
          </w:tcPr>
          <w:p>
            <w:pPr>
              <w:pStyle w:val="TableContents"/>
              <w:bidi w:val="0"/>
              <w:spacing w:before="0" w:after="283"/>
              <w:jc w:val="left"/>
              <w:rPr/>
            </w:pPr>
            <w:r>
              <w:rPr/>
              <w:t>​</w:t>
            </w:r>
          </w:p>
        </w:tc>
      </w:tr>
      <w:tr>
        <w:trPr/>
        <w:tc>
          <w:tcPr>
            <w:tcW w:w="1222" w:type="dxa"/>
            <w:tcBorders/>
            <w:tcMar>
              <w:bottom w:w="0" w:type="dxa"/>
            </w:tcMar>
            <w:vAlign w:val="center"/>
          </w:tcPr>
          <w:p>
            <w:pPr>
              <w:pStyle w:val="TableContents"/>
              <w:bidi w:val="0"/>
              <w:spacing w:before="0" w:after="283"/>
              <w:ind w:left="100" w:right="0" w:hanging="0"/>
              <w:jc w:val="left"/>
              <w:rPr>
                <w:spacing w:val="4"/>
              </w:rPr>
            </w:pPr>
            <w:r>
              <w:rPr>
                <w:spacing w:val="4"/>
              </w:rPr>
              <w:t xml:space="preserve">4.7*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17" w:type="dxa"/>
            <w:tcBorders/>
            <w:tcMar>
              <w:bottom w:w="0" w:type="dxa"/>
            </w:tcMar>
            <w:vAlign w:val="center"/>
          </w:tcPr>
          <w:p>
            <w:pPr>
              <w:pStyle w:val="TableContents"/>
              <w:bidi w:val="0"/>
              <w:spacing w:before="0" w:after="283"/>
              <w:jc w:val="left"/>
              <w:rPr>
                <w:spacing w:val="4"/>
              </w:rPr>
            </w:pPr>
            <w:r>
              <w:rPr>
                <w:spacing w:val="4"/>
              </w:rPr>
              <w:t xml:space="preserve">Form of Purchase Unit Agreement (including form of Purchase Unit Certificate). </w:t>
            </w:r>
          </w:p>
        </w:tc>
        <w:tc>
          <w:tcPr>
            <w:tcW w:w="155" w:type="dxa"/>
            <w:tcBorders/>
            <w:tcMar>
              <w:bottom w:w="0" w:type="dxa"/>
            </w:tcMar>
            <w:vAlign w:val="center"/>
          </w:tcPr>
          <w:p>
            <w:pPr>
              <w:pStyle w:val="TableContents"/>
              <w:bidi w:val="0"/>
              <w:spacing w:before="0" w:after="283"/>
              <w:jc w:val="left"/>
              <w:rPr/>
            </w:pPr>
            <w:r>
              <w:rPr/>
              <w:t>​</w:t>
            </w:r>
          </w:p>
        </w:tc>
      </w:tr>
      <w:tr>
        <w:trPr/>
        <w:tc>
          <w:tcPr>
            <w:tcW w:w="1222" w:type="dxa"/>
            <w:tcBorders/>
            <w:tcMar>
              <w:bottom w:w="0" w:type="dxa"/>
            </w:tcMar>
            <w:vAlign w:val="center"/>
          </w:tcPr>
          <w:p>
            <w:pPr>
              <w:pStyle w:val="TableContents"/>
              <w:bidi w:val="0"/>
              <w:spacing w:before="0" w:after="283"/>
              <w:ind w:left="100" w:right="0" w:hanging="0"/>
              <w:jc w:val="left"/>
              <w:rPr>
                <w:spacing w:val="4"/>
              </w:rPr>
            </w:pPr>
            <w:r>
              <w:rPr>
                <w:spacing w:val="4"/>
              </w:rPr>
              <w:t xml:space="preserve">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17" w:type="dxa"/>
            <w:tcBorders/>
            <w:tcMar>
              <w:bottom w:w="0" w:type="dxa"/>
            </w:tcMar>
            <w:vAlign w:val="center"/>
          </w:tcPr>
          <w:p>
            <w:pPr>
              <w:pStyle w:val="TableContents"/>
              <w:bidi w:val="0"/>
              <w:spacing w:before="0" w:after="283"/>
              <w:jc w:val="left"/>
              <w:rPr/>
            </w:pPr>
            <w:hyperlink r:id="rId13">
              <w:r>
                <w:rPr>
                  <w:rStyle w:val="InternetLink"/>
                </w:rPr>
                <w:t>Registration Rights Agreement, dated September 12, 2025, by and among Gemini Space Station, Inc. and certain of its stockholders (incorporated by reference to Exhibit 4.2 of the registrant’s Quarterly Report on Form 10-Q filed on November 10, 2025).</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22" w:type="dxa"/>
            <w:tcBorders/>
            <w:tcMar>
              <w:bottom w:w="0" w:type="dxa"/>
            </w:tcMar>
            <w:vAlign w:val="center"/>
          </w:tcPr>
          <w:p>
            <w:pPr>
              <w:pStyle w:val="TableContents"/>
              <w:bidi w:val="0"/>
              <w:spacing w:before="0" w:after="283"/>
              <w:ind w:left="100" w:right="0" w:hanging="0"/>
              <w:jc w:val="left"/>
              <w:rPr>
                <w:spacing w:val="4"/>
              </w:rPr>
            </w:pPr>
            <w:r>
              <w:rPr>
                <w:spacing w:val="4"/>
              </w:rPr>
              <w:t xml:space="preserve">4.9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17" w:type="dxa"/>
            <w:tcBorders/>
            <w:tcMar>
              <w:bottom w:w="0" w:type="dxa"/>
            </w:tcMar>
            <w:vAlign w:val="center"/>
          </w:tcPr>
          <w:p>
            <w:pPr>
              <w:pStyle w:val="TableContents"/>
              <w:bidi w:val="0"/>
              <w:spacing w:before="0" w:after="283"/>
              <w:jc w:val="left"/>
              <w:rPr/>
            </w:pPr>
            <w:hyperlink r:id="rId14">
              <w:r>
                <w:rPr>
                  <w:rStyle w:val="InternetLink"/>
                </w:rPr>
                <w:t>Amendment No. 1 to Registration Rights Agreement, dated May 14, 2026 (incorporated by reference to Exhibit 99.2 of the registrant’s Current Report on Form 8-K filed on May 14,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22" w:type="dxa"/>
            <w:tcBorders/>
            <w:tcMar>
              <w:bottom w:w="0" w:type="dxa"/>
            </w:tcMar>
            <w:vAlign w:val="center"/>
          </w:tcPr>
          <w:p>
            <w:pPr>
              <w:pStyle w:val="TableContents"/>
              <w:bidi w:val="0"/>
              <w:spacing w:before="0" w:after="283"/>
              <w:ind w:left="100" w:right="0" w:hanging="0"/>
              <w:jc w:val="left"/>
              <w:rPr>
                <w:spacing w:val="4"/>
              </w:rPr>
            </w:pPr>
            <w:r>
              <w:rPr>
                <w:spacing w:val="4"/>
              </w:rPr>
              <w:t xml:space="preserve">4.10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17" w:type="dxa"/>
            <w:tcBorders/>
            <w:tcMar>
              <w:bottom w:w="0" w:type="dxa"/>
            </w:tcMar>
            <w:vAlign w:val="center"/>
          </w:tcPr>
          <w:p>
            <w:pPr>
              <w:pStyle w:val="TableContents"/>
              <w:bidi w:val="0"/>
              <w:spacing w:before="0" w:after="0"/>
              <w:jc w:val="left"/>
              <w:rPr/>
            </w:pPr>
            <w:hyperlink r:id="rId15">
              <w:r>
                <w:rPr>
                  <w:rStyle w:val="InternetLink"/>
                  <w:spacing w:val="4"/>
                </w:rPr>
                <w:t>Form of Class A Common Stock Certificate (incorporated by reference to Exhibit 4.1 of the registrant’s Registration Statement on Form S-1 filed on August 15, 2025).</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22" w:type="dxa"/>
            <w:tcBorders/>
            <w:tcMar>
              <w:bottom w:w="0" w:type="dxa"/>
            </w:tcMar>
            <w:vAlign w:val="center"/>
          </w:tcPr>
          <w:p>
            <w:pPr>
              <w:pStyle w:val="TableContents"/>
              <w:bidi w:val="0"/>
              <w:spacing w:before="0" w:after="283"/>
              <w:ind w:left="100" w:right="0" w:hanging="0"/>
              <w:jc w:val="left"/>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17" w:type="dxa"/>
            <w:tcBorders/>
            <w:tcMar>
              <w:bottom w:w="0" w:type="dxa"/>
            </w:tcMar>
            <w:vAlign w:val="center"/>
          </w:tcPr>
          <w:p>
            <w:pPr>
              <w:pStyle w:val="TableContents"/>
              <w:bidi w:val="0"/>
              <w:spacing w:before="0" w:after="0"/>
              <w:jc w:val="left"/>
              <w:rPr/>
            </w:pPr>
            <w:hyperlink w:anchor="tm2626033d2_ex5-1.htm">
              <w:r>
                <w:rPr>
                  <w:rStyle w:val="InternetLink"/>
                  <w:spacing w:val="4"/>
                </w:rPr>
                <w:t>Opinion of Brownstein Hyatt Farber Schreck,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22" w:type="dxa"/>
            <w:tcBorders/>
            <w:tcMar>
              <w:bottom w:w="0" w:type="dxa"/>
            </w:tcMar>
            <w:vAlign w:val="center"/>
          </w:tcPr>
          <w:p>
            <w:pPr>
              <w:pStyle w:val="TableContents"/>
              <w:bidi w:val="0"/>
              <w:spacing w:before="0" w:after="283"/>
              <w:ind w:left="100" w:right="0" w:hanging="0"/>
              <w:jc w:val="left"/>
              <w:rPr>
                <w:spacing w:val="4"/>
              </w:rPr>
            </w:pPr>
            <w:r>
              <w:rPr>
                <w:spacing w:val="4"/>
              </w:rPr>
              <w:t xml:space="preserve">5.2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17" w:type="dxa"/>
            <w:tcBorders/>
            <w:tcMar>
              <w:bottom w:w="0" w:type="dxa"/>
            </w:tcMar>
            <w:vAlign w:val="center"/>
          </w:tcPr>
          <w:p>
            <w:pPr>
              <w:pStyle w:val="TableContents"/>
              <w:bidi w:val="0"/>
              <w:spacing w:before="0" w:after="0"/>
              <w:jc w:val="left"/>
              <w:rPr/>
            </w:pPr>
            <w:hyperlink w:anchor="tm2626033d2_ex5-2.htm">
              <w:r>
                <w:rPr>
                  <w:rStyle w:val="InternetLink"/>
                  <w:spacing w:val="4"/>
                </w:rPr>
                <w:t>Opinion of Skadden, Arps, Slate, Meagher &amp; Flom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22" w:type="dxa"/>
            <w:tcBorders/>
            <w:tcMar>
              <w:bottom w:w="0" w:type="dxa"/>
            </w:tcMar>
            <w:vAlign w:val="center"/>
          </w:tcPr>
          <w:p>
            <w:pPr>
              <w:pStyle w:val="TableContents"/>
              <w:bidi w:val="0"/>
              <w:spacing w:before="0" w:after="283"/>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17" w:type="dxa"/>
            <w:tcBorders/>
            <w:tcMar>
              <w:bottom w:w="0" w:type="dxa"/>
            </w:tcMar>
            <w:vAlign w:val="center"/>
          </w:tcPr>
          <w:p>
            <w:pPr>
              <w:pStyle w:val="TableContents"/>
              <w:bidi w:val="0"/>
              <w:spacing w:before="0" w:after="0"/>
              <w:jc w:val="left"/>
              <w:rPr/>
            </w:pPr>
            <w:hyperlink w:anchor="tm2626033d2_ex23-1.htm">
              <w:r>
                <w:rPr>
                  <w:rStyle w:val="InternetLink"/>
                  <w:spacing w:val="4"/>
                </w:rPr>
                <w:t>Consent of Deloitte &amp; Touche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22" w:type="dxa"/>
            <w:tcBorders/>
            <w:tcMar>
              <w:bottom w:w="0" w:type="dxa"/>
            </w:tcMar>
            <w:vAlign w:val="center"/>
          </w:tcPr>
          <w:p>
            <w:pPr>
              <w:pStyle w:val="TableContents"/>
              <w:bidi w:val="0"/>
              <w:spacing w:before="0" w:after="283"/>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17" w:type="dxa"/>
            <w:tcBorders/>
            <w:tcMar>
              <w:bottom w:w="0" w:type="dxa"/>
            </w:tcMar>
            <w:vAlign w:val="center"/>
          </w:tcPr>
          <w:p>
            <w:pPr>
              <w:pStyle w:val="TableContents"/>
              <w:bidi w:val="0"/>
              <w:spacing w:before="0" w:after="0"/>
              <w:jc w:val="left"/>
              <w:rPr/>
            </w:pPr>
            <w:hyperlink w:anchor="tm2626033d2_ex5-1.htm">
              <w:r>
                <w:rPr>
                  <w:rStyle w:val="InternetLink"/>
                  <w:spacing w:val="4"/>
                </w:rPr>
                <w:t>Consent of Brownstein Hyatt Farber Schreck, LLP (included in Exhibit 5.1).</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22" w:type="dxa"/>
            <w:tcBorders/>
            <w:tcMar>
              <w:bottom w:w="0" w:type="dxa"/>
            </w:tcMar>
            <w:vAlign w:val="center"/>
          </w:tcPr>
          <w:p>
            <w:pPr>
              <w:pStyle w:val="TableContents"/>
              <w:bidi w:val="0"/>
              <w:spacing w:before="0" w:after="283"/>
              <w:jc w:val="left"/>
              <w:rPr>
                <w:spacing w:val="4"/>
              </w:rPr>
            </w:pPr>
            <w:r>
              <w:rPr>
                <w:spacing w:val="4"/>
              </w:rPr>
              <w:t xml:space="preserve">23.3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17" w:type="dxa"/>
            <w:tcBorders/>
            <w:tcMar>
              <w:bottom w:w="0" w:type="dxa"/>
            </w:tcMar>
            <w:vAlign w:val="center"/>
          </w:tcPr>
          <w:p>
            <w:pPr>
              <w:pStyle w:val="TableContents"/>
              <w:bidi w:val="0"/>
              <w:spacing w:before="0" w:after="0"/>
              <w:jc w:val="left"/>
              <w:rPr/>
            </w:pPr>
            <w:hyperlink w:anchor="tm2626033d2_ex5-2.htm">
              <w:r>
                <w:rPr>
                  <w:rStyle w:val="InternetLink"/>
                  <w:spacing w:val="4"/>
                </w:rPr>
                <w:t>Consent of Skadden, Arps, Slate, Meagher &amp; Flom LLP (included in Exhibit 5.2).</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22" w:type="dxa"/>
            <w:tcBorders/>
            <w:tcMar>
              <w:bottom w:w="0" w:type="dxa"/>
            </w:tcMar>
            <w:vAlign w:val="center"/>
          </w:tcPr>
          <w:p>
            <w:pPr>
              <w:pStyle w:val="TableContents"/>
              <w:bidi w:val="0"/>
              <w:spacing w:before="0" w:after="283"/>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17" w:type="dxa"/>
            <w:tcBorders/>
            <w:tcMar>
              <w:bottom w:w="0" w:type="dxa"/>
            </w:tcMar>
            <w:vAlign w:val="center"/>
          </w:tcPr>
          <w:p>
            <w:pPr>
              <w:pStyle w:val="TableContents"/>
              <w:bidi w:val="0"/>
              <w:spacing w:before="0" w:after="0"/>
              <w:jc w:val="left"/>
              <w:rPr/>
            </w:pPr>
            <w:hyperlink w:anchor="tSIGN">
              <w:r>
                <w:rPr>
                  <w:rStyle w:val="InternetLink"/>
                  <w:spacing w:val="4"/>
                </w:rPr>
                <w:t>Powers of Attorney (included on signature pages hereto).</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22" w:type="dxa"/>
            <w:tcBorders/>
            <w:tcMar>
              <w:bottom w:w="0" w:type="dxa"/>
            </w:tcMar>
            <w:vAlign w:val="center"/>
          </w:tcPr>
          <w:p>
            <w:pPr>
              <w:pStyle w:val="TableContents"/>
              <w:bidi w:val="0"/>
              <w:spacing w:before="0" w:after="283"/>
              <w:jc w:val="left"/>
              <w:rPr>
                <w:spacing w:val="4"/>
              </w:rPr>
            </w:pPr>
            <w:r>
              <w:rPr>
                <w:spacing w:val="4"/>
              </w:rPr>
              <w:t xml:space="preserve">25.1**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17" w:type="dxa"/>
            <w:tcBorders/>
            <w:tcMar>
              <w:bottom w:w="0" w:type="dxa"/>
            </w:tcMar>
            <w:vAlign w:val="center"/>
          </w:tcPr>
          <w:p>
            <w:pPr>
              <w:pStyle w:val="TableContents"/>
              <w:bidi w:val="0"/>
              <w:spacing w:before="0" w:after="283"/>
              <w:jc w:val="left"/>
              <w:rPr>
                <w:spacing w:val="4"/>
              </w:rPr>
            </w:pPr>
            <w:r>
              <w:rPr>
                <w:spacing w:val="4"/>
              </w:rPr>
              <w:t xml:space="preserve">Statement of Eligibility on Form T-1 of trustee under the Indenture. </w:t>
            </w:r>
          </w:p>
        </w:tc>
        <w:tc>
          <w:tcPr>
            <w:tcW w:w="155" w:type="dxa"/>
            <w:tcBorders/>
            <w:tcMar>
              <w:bottom w:w="0" w:type="dxa"/>
            </w:tcMar>
            <w:vAlign w:val="center"/>
          </w:tcPr>
          <w:p>
            <w:pPr>
              <w:pStyle w:val="TableContents"/>
              <w:bidi w:val="0"/>
              <w:spacing w:before="0" w:after="283"/>
              <w:jc w:val="left"/>
              <w:rPr/>
            </w:pPr>
            <w:r>
              <w:rPr/>
              <w:t>​</w:t>
            </w:r>
          </w:p>
        </w:tc>
      </w:tr>
      <w:tr>
        <w:trPr/>
        <w:tc>
          <w:tcPr>
            <w:tcW w:w="1222" w:type="dxa"/>
            <w:tcBorders/>
            <w:tcMar>
              <w:bottom w:w="0" w:type="dxa"/>
            </w:tcMar>
            <w:vAlign w:val="center"/>
          </w:tcPr>
          <w:p>
            <w:pPr>
              <w:pStyle w:val="TableContents"/>
              <w:bidi w:val="0"/>
              <w:spacing w:before="0" w:after="283"/>
              <w:jc w:val="left"/>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17" w:type="dxa"/>
            <w:tcBorders/>
            <w:tcMar>
              <w:bottom w:w="0" w:type="dxa"/>
            </w:tcMar>
            <w:vAlign w:val="center"/>
          </w:tcPr>
          <w:p>
            <w:pPr>
              <w:pStyle w:val="TableContents"/>
              <w:bidi w:val="0"/>
              <w:spacing w:before="0" w:after="0"/>
              <w:jc w:val="left"/>
              <w:rPr/>
            </w:pPr>
            <w:hyperlink w:anchor="tm2626033d1_ex-filingfees.htm">
              <w:r>
                <w:rPr>
                  <w:rStyle w:val="InternetLink"/>
                  <w:spacing w:val="4"/>
                </w:rPr>
                <w:t>Filing fee table.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filed, if necessary, by amendment to the registration statement or incorporated by reference from documents filed or to be filed with the SEC under the Exchange Act. </w:t>
      </w:r>
      <w:r>
        <mc:AlternateContent>
          <mc:Choice Requires="wps">
            <w:drawing>
              <wp:anchor behindDoc="0" distT="102870" distB="0" distL="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filed in accordance with the requirements of Section 305(b)(2) of the Trust Indenture Act of 1939, as amended, and the applicable rules thereunder. </w:t>
      </w:r>
      <w:r>
        <mc:AlternateContent>
          <mc:Choice Requires="wps">
            <w:drawing>
              <wp:anchor behindDoc="0" distT="52070" distB="0" distL="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17.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during any period in which offers or sales are being made, a post-effective amendment to this registration statement: </w:t>
      </w:r>
      <w:r>
        <mc:AlternateContent>
          <mc:Choice Requires="wps">
            <w:drawing>
              <wp:anchor behindDoc="0" distT="101600" distB="0" distL="25400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prospectus required by Section 10(a)(3) of the Securities Act of 1933; </w:t>
      </w:r>
      <w:r>
        <mc:AlternateContent>
          <mc:Choice Requires="wps">
            <w:drawing>
              <wp:anchor behindDoc="0" distT="101600" distB="0" distL="50800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Filing Fee Tables” or “Calculation of Registration Fee” table in the effective registration statement; </w:t>
      </w:r>
      <w:r>
        <mc:AlternateContent>
          <mc:Choice Requires="wps">
            <w:drawing>
              <wp:anchor behindDoc="0" distT="101600" distB="0" distL="50800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material information with respect to the plan of distribution not previously disclosed in the registration statement or any material change to such information in the registration statement; </w:t>
      </w:r>
      <w:r>
        <mc:AlternateContent>
          <mc:Choice Requires="wps">
            <w:drawing>
              <wp:anchor behindDoc="0" distT="101600" distB="0" distL="508000" distR="0" simplePos="0" locked="0" layoutInCell="1" allowOverlap="1" relativeHeight="99">
                <wp:simplePos x="0" y="0"/>
                <wp:positionH relativeFrom="column">
                  <wp:align>left</wp:align>
                </wp:positionH>
                <wp:positionV relativeFrom="line">
                  <wp:align>top</wp:align>
                </wp:positionV>
                <wp:extent cx="254000" cy="525780"/>
                <wp:effectExtent l="0" t="0" r="0" b="0"/>
                <wp:wrapSquare wrapText="right"/>
                <wp:docPr id="97" name="Frame9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however, that paragraphs (i), (ii) and (iii) of this section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this registration statement, or is contained in a form of prospectus filed pursuant to Rule 424(b) that is part of this registration statement; </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104140" distB="0" distL="25400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remove from registration by means of a post-effective amendment any of the securities being registered which remain unsold at the termination of the offering. </w:t>
      </w:r>
      <w:r>
        <mc:AlternateContent>
          <mc:Choice Requires="wps">
            <w:drawing>
              <wp:anchor behindDoc="0" distT="104140" distB="0" distL="25400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under the Securities Act of 1933 to any purchaser: </w:t>
      </w:r>
      <w:r>
        <mc:AlternateContent>
          <mc:Choice Requires="wps">
            <w:drawing>
              <wp:anchor behindDoc="0" distT="104140" distB="0" distL="25400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filed by the registrant pursuant to Rule 424(b)(3) shall be deemed to be part of this registration statement as of the date the filed prospectus was deemed part of and included in this registration statement; and </w:t>
      </w:r>
      <w:r>
        <mc:AlternateContent>
          <mc:Choice Requires="wps">
            <w:drawing>
              <wp:anchor behindDoc="0" distT="104140" distB="0" distL="50800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this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this registration statement or made in a document incorporated or deemed incorporated by reference into this registration statement or prospectus that is part of this registration statement will, as to a purchaser with a time of contract of sale prior to such effective date, supersede or modify any statement that was made in this registration statement or prospectus that was part of this registration statement or made in any such document immediately prior to such effective date. </w:t>
      </w:r>
      <w:r>
        <mc:AlternateContent>
          <mc:Choice Requires="wps">
            <w:drawing>
              <wp:anchor behindDoc="0" distT="104140" distB="0" distL="50800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r>
        <mc:AlternateContent>
          <mc:Choice Requires="wps">
            <w:drawing>
              <wp:anchor behindDoc="0" distT="104140" distB="0" distL="25400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preliminary prospectus or prospectus of the undersigned registrant relating to the offering required to be filed pursuant to Rule 424; </w:t>
      </w:r>
      <w:r>
        <mc:AlternateContent>
          <mc:Choice Requires="wps">
            <w:drawing>
              <wp:anchor behindDoc="0" distT="104140" distB="0" distL="50800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free writing prospectus relating to the offering prepared by or on behalf of the undersigned registrant or used or referred to by the undersigned registrant; </w:t>
      </w:r>
      <w:r>
        <mc:AlternateContent>
          <mc:Choice Requires="wps">
            <w:drawing>
              <wp:anchor behindDoc="0" distT="104140" distB="0" distL="50800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any other free writing prospectus relating to the offering containing material information about the undersigned registrant or its securities provided by or on behalf of the undersigned registrant; and </w:t>
      </w:r>
      <w:r>
        <mc:AlternateContent>
          <mc:Choice Requires="wps">
            <w:drawing>
              <wp:anchor behindDoc="0" distT="104140" distB="0" distL="508000" distR="0" simplePos="0" locked="0" layoutInCell="1" allowOverlap="1" relativeHeight="108">
                <wp:simplePos x="0" y="0"/>
                <wp:positionH relativeFrom="column">
                  <wp:align>left</wp:align>
                </wp:positionH>
                <wp:positionV relativeFrom="line">
                  <wp:align>top</wp:align>
                </wp:positionV>
                <wp:extent cx="254000" cy="525780"/>
                <wp:effectExtent l="0" t="0" r="0" b="0"/>
                <wp:wrapSquare wrapText="right"/>
                <wp:docPr id="106" name="Frame10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communication that is an offer in the offering made by the undersigned registrant to the purchaser. </w:t>
      </w:r>
      <w:r>
        <mc:AlternateContent>
          <mc:Choice Requires="wps">
            <w:drawing>
              <wp:anchor behindDoc="0" distT="102870" distB="0" distL="508000" distR="0" simplePos="0" locked="0" layoutInCell="1" allowOverlap="1" relativeHeight="109">
                <wp:simplePos x="0" y="0"/>
                <wp:positionH relativeFrom="column">
                  <wp:align>left</wp:align>
                </wp:positionH>
                <wp:positionV relativeFrom="line">
                  <wp:align>top</wp:align>
                </wp:positionV>
                <wp:extent cx="254000" cy="525780"/>
                <wp:effectExtent l="0" t="0" r="0" b="0"/>
                <wp:wrapSquare wrapText="right"/>
                <wp:docPr id="107" name="Frame10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4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undersigned registrant hereby undertakes to file an application for the purpose of determining the eligibility of the trustee to act under subsection (a) of Section 310 of the Trust Indenture Act in accordance with the rules and regulations prescribed by the SEC under Section 305(b)(2) of the Trust Indenture Act.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SIGN"/>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the registrant certifies that it has reasonable grounds to believe that it meets all of the requirements for filing on Form S-3 and has duly caused this registration statement on Form S-3 to be signed on its behalf by the undersigned, thereunto duly authorized, in the City of New York, State of New York, on October 1, 2026. </w:t>
      </w:r>
    </w:p>
    <w:p>
      <w:pPr>
        <w:pStyle w:val="TextBody"/>
        <w:bidi w:val="0"/>
        <w:spacing w:lineRule="atLeast" w:line="240" w:before="3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GEMINI SPACE STATION,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Cameron Winklevoss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15900" distB="0" distL="2794000" distR="0" simplePos="0" locked="0" layoutInCell="1" allowOverlap="1" relativeHeight="110">
                <wp:simplePos x="0" y="0"/>
                <wp:positionH relativeFrom="column">
                  <wp:align>left</wp:align>
                </wp:positionH>
                <wp:positionV relativeFrom="line">
                  <wp:align>top</wp:align>
                </wp:positionV>
                <wp:extent cx="254000" cy="525780"/>
                <wp:effectExtent l="0" t="0" r="0" b="0"/>
                <wp:wrapSquare wrapText="right"/>
                <wp:docPr id="108" name="Frame10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pt;mso-wrap-distance-bottom:0pt;margin-top:17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Cameron Winklevoss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President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requirements of the Securities Act of 1933, as amended, this registration statement has been signed by the following persons in the capacities and on the dates stated. Each person whose signature appears below constitutes and appoints Tyler Winklevoss and Cameron Winklevoss and each of them severally, as his or her true and lawful attorney-in-fact and agent, each acting along with full power of substitution and resubstitution, for him or her and in his or her name, place and stead, in any and all capacities, to sign any or all amendments (including post-effective amendments) and exhibits to the Registration Statement on Form S-3, and to any registration statement filed under SEC Rule 462, and to file the same, with all exhibits thereto, and all documents in connection therewith, with the SEC,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this registration statement on Form S-3 has been signed by the following persons in the capacities indicated on October 1, 2026. </w:t>
      </w:r>
    </w:p>
    <w:tbl>
      <w:tblPr>
        <w:tblW w:w="8812" w:type="dxa"/>
        <w:jc w:val="left"/>
        <w:tblInd w:w="1393" w:type="dxa"/>
        <w:tblLayout w:type="fixed"/>
        <w:tblCellMar>
          <w:top w:w="0" w:type="dxa"/>
          <w:left w:w="0" w:type="dxa"/>
          <w:bottom w:w="28" w:type="dxa"/>
          <w:right w:w="0" w:type="dxa"/>
        </w:tblCellMar>
      </w:tblPr>
      <w:tblGrid>
        <w:gridCol w:w="124"/>
        <w:gridCol w:w="2448"/>
        <w:gridCol w:w="109"/>
        <w:gridCol w:w="109"/>
        <w:gridCol w:w="5867"/>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44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86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48" w:type="dxa"/>
            <w:tcBorders/>
            <w:tcMar>
              <w:bottom w:w="0" w:type="dxa"/>
            </w:tcMar>
            <w:vAlign w:val="center"/>
          </w:tcPr>
          <w:p>
            <w:pPr>
              <w:pStyle w:val="TableContents"/>
              <w:bidi w:val="0"/>
              <w:spacing w:before="0" w:after="0"/>
              <w:jc w:val="left"/>
              <w:rPr/>
            </w:pPr>
            <w:r>
              <w:rPr>
                <w:spacing w:val="4"/>
              </w:rPr>
              <w:t>/s/ Tyler Winklevoss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Tyler Winklevoss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67" w:type="dxa"/>
            <w:tcBorders/>
            <w:tcMar>
              <w:bottom w:w="0" w:type="dxa"/>
            </w:tcMar>
            <w:vAlign w:val="center"/>
          </w:tcPr>
          <w:p>
            <w:pPr>
              <w:pStyle w:val="TableContents"/>
              <w:bidi w:val="0"/>
              <w:spacing w:before="0" w:after="0"/>
              <w:jc w:val="center"/>
              <w:rPr/>
            </w:pPr>
            <w:r>
              <w:rPr>
                <w:spacing w:val="4"/>
              </w:rPr>
              <w:t>Co-Founder, Chief Executive Officer and Director</w:t>
            </w:r>
            <w:r>
              <w:rPr/>
              <w:t xml:space="preserve"> </w:t>
              <w:br/>
            </w:r>
            <w:r>
              <w:rPr>
                <w:spacing w:val="4"/>
              </w:rPr>
              <w:t xml:space="preserve">(Principal Executive Officer)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48" w:type="dxa"/>
            <w:tcBorders/>
            <w:tcMar>
              <w:bottom w:w="0" w:type="dxa"/>
            </w:tcMar>
            <w:vAlign w:val="center"/>
          </w:tcPr>
          <w:p>
            <w:pPr>
              <w:pStyle w:val="TableContents"/>
              <w:bidi w:val="0"/>
              <w:spacing w:before="0" w:after="0"/>
              <w:jc w:val="left"/>
              <w:rPr/>
            </w:pPr>
            <w:r>
              <w:rPr>
                <w:spacing w:val="4"/>
              </w:rPr>
              <w:t>/s/ Cameron Winklevoss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Cameron Winklevoss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67" w:type="dxa"/>
            <w:tcBorders/>
            <w:tcMar>
              <w:bottom w:w="0" w:type="dxa"/>
            </w:tcMar>
            <w:vAlign w:val="center"/>
          </w:tcPr>
          <w:p>
            <w:pPr>
              <w:pStyle w:val="TableContents"/>
              <w:bidi w:val="0"/>
              <w:spacing w:before="0" w:after="0"/>
              <w:jc w:val="center"/>
              <w:rPr>
                <w:spacing w:val="4"/>
              </w:rPr>
            </w:pPr>
            <w:r>
              <w:rPr>
                <w:spacing w:val="4"/>
              </w:rPr>
              <w:t xml:space="preserve">Co-Founder, President and Director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48" w:type="dxa"/>
            <w:tcBorders/>
            <w:tcMar>
              <w:bottom w:w="0" w:type="dxa"/>
            </w:tcMar>
            <w:vAlign w:val="center"/>
          </w:tcPr>
          <w:p>
            <w:pPr>
              <w:pStyle w:val="TableContents"/>
              <w:bidi w:val="0"/>
              <w:spacing w:before="0" w:after="0"/>
              <w:jc w:val="left"/>
              <w:rPr/>
            </w:pPr>
            <w:r>
              <w:rPr>
                <w:spacing w:val="4"/>
              </w:rPr>
              <w:t>/s/ Danijela Stojanovic</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Danijela Stojanovic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67" w:type="dxa"/>
            <w:tcBorders/>
            <w:tcMar>
              <w:bottom w:w="0" w:type="dxa"/>
            </w:tcMar>
            <w:vAlign w:val="center"/>
          </w:tcPr>
          <w:p>
            <w:pPr>
              <w:pStyle w:val="TableContents"/>
              <w:bidi w:val="0"/>
              <w:spacing w:before="0" w:after="0"/>
              <w:jc w:val="center"/>
              <w:rPr/>
            </w:pPr>
            <w:r>
              <w:rPr>
                <w:spacing w:val="4"/>
              </w:rPr>
              <w:t>Interim Chief Financial Officer</w:t>
            </w:r>
            <w:r>
              <w:rPr/>
              <w:t xml:space="preserve"> </w:t>
              <w:br/>
            </w:r>
            <w:r>
              <w:rPr>
                <w:spacing w:val="4"/>
              </w:rPr>
              <w:t xml:space="preserve">(Principal Financial Officer and Principal Accounting Officer)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48" w:type="dxa"/>
            <w:tcBorders/>
            <w:tcMar>
              <w:bottom w:w="0" w:type="dxa"/>
            </w:tcMar>
            <w:vAlign w:val="center"/>
          </w:tcPr>
          <w:p>
            <w:pPr>
              <w:pStyle w:val="TableContents"/>
              <w:bidi w:val="0"/>
              <w:spacing w:before="0" w:after="0"/>
              <w:jc w:val="left"/>
              <w:rPr/>
            </w:pPr>
            <w:r>
              <w:rPr>
                <w:spacing w:val="4"/>
              </w:rPr>
              <w:t>/s/ Sachin Chand Jaitly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Sachin Chand Jaitly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67"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48" w:type="dxa"/>
            <w:tcBorders/>
            <w:tcMar>
              <w:bottom w:w="0" w:type="dxa"/>
            </w:tcMar>
            <w:vAlign w:val="center"/>
          </w:tcPr>
          <w:p>
            <w:pPr>
              <w:pStyle w:val="TableContents"/>
              <w:bidi w:val="0"/>
              <w:spacing w:before="0" w:after="0"/>
              <w:jc w:val="left"/>
              <w:rPr/>
            </w:pPr>
            <w:r>
              <w:rPr>
                <w:spacing w:val="4"/>
              </w:rPr>
              <w:t>/s/ Jonathan Durham</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Jonathan Durham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67"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48" w:type="dxa"/>
            <w:tcBorders/>
            <w:tcMar>
              <w:bottom w:w="0" w:type="dxa"/>
            </w:tcMar>
            <w:vAlign w:val="center"/>
          </w:tcPr>
          <w:p>
            <w:pPr>
              <w:pStyle w:val="TableContents"/>
              <w:bidi w:val="0"/>
              <w:spacing w:before="0" w:after="0"/>
              <w:jc w:val="left"/>
              <w:rPr/>
            </w:pPr>
            <w:r>
              <w:rPr>
                <w:spacing w:val="4"/>
              </w:rPr>
              <w:t>/s/ James Esposito</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James Esposito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67"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48" w:type="dxa"/>
            <w:tcBorders/>
            <w:tcMar>
              <w:bottom w:w="0" w:type="dxa"/>
            </w:tcMar>
            <w:vAlign w:val="center"/>
          </w:tcPr>
          <w:p>
            <w:pPr>
              <w:pStyle w:val="TableContents"/>
              <w:bidi w:val="0"/>
              <w:spacing w:before="0" w:after="0"/>
              <w:jc w:val="left"/>
              <w:rPr/>
            </w:pPr>
            <w:r>
              <w:rPr>
                <w:spacing w:val="4"/>
              </w:rPr>
              <w:t>/s/ Maria Filipakis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Maria Filipakis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67" w:type="dxa"/>
            <w:tcBorders/>
            <w:tcMar>
              <w:bottom w:w="0" w:type="dxa"/>
            </w:tcMar>
            <w:vAlign w:val="center"/>
          </w:tcPr>
          <w:p>
            <w:pPr>
              <w:pStyle w:val="TableContents"/>
              <w:bidi w:val="0"/>
              <w:spacing w:before="0" w:after="0"/>
              <w:jc w:val="center"/>
              <w:rPr/>
            </w:pPr>
            <w:r>
              <w:rPr>
                <w:spacing w:val="4"/>
              </w:rPr>
              <w:t>Director</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21" w:name="tm2626033d2_ex4-3.htm"/>
      <w:bookmarkStart w:id="22" w:name="kstm2626033d2_ex43"/>
      <w:bookmarkEnd w:id="21"/>
      <w:bookmarkEnd w:id="22"/>
      <w:r>
        <w:rPr/>
        <w:t> </w:t>
      </w:r>
      <w:r>
        <w:br w:type="page"/>
      </w:r>
    </w:p>
    <w:p>
      <w:pPr>
        <w:pStyle w:val="TextBody"/>
        <w:bidi w:val="0"/>
        <w:jc w:val="right"/>
        <w:rPr>
          <w:rFonts w:ascii="Times New Roman;Times;Serif" w:hAnsi="Times New Roman;Times;Serif"/>
          <w:b/>
          <w:sz w:val="20"/>
        </w:rPr>
      </w:pPr>
      <w:r>
        <w:rPr>
          <w:rFonts w:ascii="Times New Roman;Times;Serif" w:hAnsi="Times New Roman;Times;Serif"/>
          <w:b/>
          <w:sz w:val="20"/>
        </w:rPr>
        <w:t>Exhibit 4.3</w:t>
      </w:r>
    </w:p>
    <w:p>
      <w:pPr>
        <w:pStyle w:val="TextBody"/>
        <w:pBdr>
          <w:bottom w:val="double" w:sz="2" w:space="1" w:color="000000"/>
        </w:pBdr>
        <w:bidi w:val="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GEMINI SPACE STATION,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 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w:t>
      </w:r>
    </w:p>
    <w:p>
      <w:pPr>
        <w:pStyle w:val="TextBody"/>
        <w:pBdr>
          <w:bottom w:val="double" w:sz="2"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and tie between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 Indenture Act of 1939 and Indenture*</w:t>
      </w:r>
    </w:p>
    <w:p>
      <w:pPr>
        <w:pStyle w:val="TextBody"/>
        <w:bidi w:val="0"/>
        <w:spacing w:before="0" w:after="0"/>
        <w:ind w:left="0" w:right="0" w:hanging="0"/>
        <w:jc w:val="left"/>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1745"/>
        <w:gridCol w:w="60"/>
        <w:gridCol w:w="3380"/>
      </w:tblGrid>
      <w:tr>
        <w:trPr/>
        <w:tc>
          <w:tcPr>
            <w:tcW w:w="1745" w:type="dxa"/>
            <w:tcBorders/>
            <w:vAlign w:val="center"/>
          </w:tcPr>
          <w:p>
            <w:pPr>
              <w:pStyle w:val="TableContents"/>
              <w:bidi w:val="0"/>
              <w:spacing w:before="0" w:after="283"/>
              <w:jc w:val="left"/>
              <w:rPr>
                <w:b/>
              </w:rPr>
            </w:pPr>
            <w:r>
              <w:rPr>
                <w:b/>
              </w:rPr>
              <w:t xml:space="preserve">Trust Indenture </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b/>
              </w:rPr>
            </w:pPr>
            <w:r>
              <w:rPr>
                <w:b/>
                <w:u w:val="single"/>
              </w:rPr>
              <w:t>Act Section</w:t>
            </w:r>
            <w:r>
              <w:rPr>
                <w:b/>
              </w:rPr>
              <w:t xml:space="preserve"> </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b/>
              </w:rPr>
            </w:pPr>
            <w:r>
              <w:rPr>
                <w:b/>
                <w:u w:val="single"/>
              </w:rPr>
              <w:t>Indenture Section</w:t>
            </w:r>
            <w:r>
              <w:rPr>
                <w:b/>
              </w:rPr>
              <w:t xml:space="preserve"> </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xml:space="preserve">§ 310 (a) </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 xml:space="preserve">11.04(a), 16.02 </w:t>
            </w:r>
          </w:p>
        </w:tc>
      </w:tr>
      <w:tr>
        <w:trPr/>
        <w:tc>
          <w:tcPr>
            <w:tcW w:w="1745" w:type="dxa"/>
            <w:tcBorders/>
            <w:vAlign w:val="center"/>
          </w:tcPr>
          <w:p>
            <w:pPr>
              <w:pStyle w:val="TableContents"/>
              <w:bidi w:val="0"/>
              <w:spacing w:before="0" w:after="283"/>
              <w:jc w:val="left"/>
              <w:rPr/>
            </w:pPr>
            <w:r>
              <w:rPr/>
              <w:t xml:space="preserve">(b) </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 xml:space="preserve">11.01(f), 11.04(b), 11.05(1), 16.02 </w:t>
            </w:r>
          </w:p>
        </w:tc>
      </w:tr>
      <w:tr>
        <w:trPr/>
        <w:tc>
          <w:tcPr>
            <w:tcW w:w="1745" w:type="dxa"/>
            <w:tcBorders/>
            <w:vAlign w:val="center"/>
          </w:tcPr>
          <w:p>
            <w:pPr>
              <w:pStyle w:val="TableContents"/>
              <w:bidi w:val="0"/>
              <w:spacing w:before="0" w:after="283"/>
              <w:jc w:val="left"/>
              <w:rPr/>
            </w:pPr>
            <w:r>
              <w:rPr/>
              <w:t xml:space="preserve">(b)(1) </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 xml:space="preserve">11.04(b), 16.02 </w:t>
            </w:r>
          </w:p>
        </w:tc>
      </w:tr>
      <w:tr>
        <w:trPr/>
        <w:tc>
          <w:tcPr>
            <w:tcW w:w="1745" w:type="dxa"/>
            <w:tcBorders/>
            <w:vAlign w:val="center"/>
          </w:tcPr>
          <w:p>
            <w:pPr>
              <w:pStyle w:val="TableContents"/>
              <w:bidi w:val="0"/>
              <w:spacing w:before="0" w:after="283"/>
              <w:jc w:val="left"/>
              <w:rPr/>
            </w:pPr>
            <w:r>
              <w:rPr/>
              <w:t xml:space="preserve">§ 311 </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 xml:space="preserve">11.01(f), 16.02 </w:t>
            </w:r>
          </w:p>
        </w:tc>
      </w:tr>
      <w:tr>
        <w:trPr/>
        <w:tc>
          <w:tcPr>
            <w:tcW w:w="1745" w:type="dxa"/>
            <w:tcBorders/>
            <w:vAlign w:val="center"/>
          </w:tcPr>
          <w:p>
            <w:pPr>
              <w:pStyle w:val="TableContents"/>
              <w:bidi w:val="0"/>
              <w:spacing w:before="0" w:after="283"/>
              <w:jc w:val="left"/>
              <w:rPr/>
            </w:pPr>
            <w:r>
              <w:rPr/>
              <w:t xml:space="preserve">§ 312 </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 xml:space="preserve">14.02(d), 16.02 </w:t>
            </w:r>
          </w:p>
        </w:tc>
      </w:tr>
      <w:tr>
        <w:trPr/>
        <w:tc>
          <w:tcPr>
            <w:tcW w:w="1745" w:type="dxa"/>
            <w:tcBorders/>
            <w:vAlign w:val="center"/>
          </w:tcPr>
          <w:p>
            <w:pPr>
              <w:pStyle w:val="TableContents"/>
              <w:bidi w:val="0"/>
              <w:spacing w:before="0" w:after="283"/>
              <w:jc w:val="left"/>
              <w:rPr/>
            </w:pPr>
            <w:r>
              <w:rPr/>
              <w:t>(b)</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11.10, 16.02</w:t>
            </w:r>
          </w:p>
        </w:tc>
      </w:tr>
      <w:tr>
        <w:trPr/>
        <w:tc>
          <w:tcPr>
            <w:tcW w:w="1745" w:type="dxa"/>
            <w:tcBorders/>
            <w:vAlign w:val="center"/>
          </w:tcPr>
          <w:p>
            <w:pPr>
              <w:pStyle w:val="TableContents"/>
              <w:bidi w:val="0"/>
              <w:spacing w:before="0" w:after="283"/>
              <w:jc w:val="left"/>
              <w:rPr/>
            </w:pPr>
            <w:r>
              <w:rPr/>
              <w:t>(c)</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 xml:space="preserve">11.10, 16.02 </w:t>
            </w:r>
          </w:p>
        </w:tc>
      </w:tr>
      <w:tr>
        <w:trPr/>
        <w:tc>
          <w:tcPr>
            <w:tcW w:w="1745" w:type="dxa"/>
            <w:tcBorders/>
            <w:vAlign w:val="center"/>
          </w:tcPr>
          <w:p>
            <w:pPr>
              <w:pStyle w:val="TableContents"/>
              <w:bidi w:val="0"/>
              <w:spacing w:before="0" w:after="283"/>
              <w:jc w:val="left"/>
              <w:rPr/>
            </w:pPr>
            <w:r>
              <w:rPr/>
              <w:t xml:space="preserve">§ 313 (a) </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 xml:space="preserve">10.01(a), 16.02 </w:t>
            </w:r>
          </w:p>
        </w:tc>
      </w:tr>
      <w:tr>
        <w:trPr/>
        <w:tc>
          <w:tcPr>
            <w:tcW w:w="1745" w:type="dxa"/>
            <w:tcBorders/>
            <w:vAlign w:val="center"/>
          </w:tcPr>
          <w:p>
            <w:pPr>
              <w:pStyle w:val="TableContents"/>
              <w:bidi w:val="0"/>
              <w:spacing w:before="0" w:after="283"/>
              <w:jc w:val="left"/>
              <w:rPr/>
            </w:pPr>
            <w:r>
              <w:rPr/>
              <w:t xml:space="preserve">§ 314 </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 xml:space="preserve">16.02 </w:t>
            </w:r>
          </w:p>
        </w:tc>
      </w:tr>
      <w:tr>
        <w:trPr/>
        <w:tc>
          <w:tcPr>
            <w:tcW w:w="1745" w:type="dxa"/>
            <w:tcBorders/>
            <w:vAlign w:val="center"/>
          </w:tcPr>
          <w:p>
            <w:pPr>
              <w:pStyle w:val="TableContents"/>
              <w:bidi w:val="0"/>
              <w:spacing w:before="0" w:after="283"/>
              <w:jc w:val="left"/>
              <w:rPr/>
            </w:pPr>
            <w:r>
              <w:rPr/>
              <w:t xml:space="preserve">§ 315 (e) </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 xml:space="preserve">11.05, 16.02 </w:t>
            </w:r>
          </w:p>
        </w:tc>
      </w:tr>
      <w:tr>
        <w:trPr/>
        <w:tc>
          <w:tcPr>
            <w:tcW w:w="1745" w:type="dxa"/>
            <w:tcBorders/>
            <w:vAlign w:val="center"/>
          </w:tcPr>
          <w:p>
            <w:pPr>
              <w:pStyle w:val="TableContents"/>
              <w:bidi w:val="0"/>
              <w:spacing w:before="0" w:after="283"/>
              <w:jc w:val="left"/>
              <w:rPr/>
            </w:pPr>
            <w:r>
              <w:rPr/>
              <w:t xml:space="preserve">§ 316 </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 xml:space="preserve">16.02 </w:t>
            </w:r>
          </w:p>
        </w:tc>
      </w:tr>
      <w:tr>
        <w:trPr/>
        <w:tc>
          <w:tcPr>
            <w:tcW w:w="1745" w:type="dxa"/>
            <w:tcBorders/>
            <w:vAlign w:val="center"/>
          </w:tcPr>
          <w:p>
            <w:pPr>
              <w:pStyle w:val="TableContents"/>
              <w:bidi w:val="0"/>
              <w:spacing w:before="0" w:after="283"/>
              <w:jc w:val="left"/>
              <w:rPr/>
            </w:pPr>
            <w:r>
              <w:rPr/>
              <w:t>§ 317</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 xml:space="preserve">16.02 </w:t>
            </w:r>
          </w:p>
        </w:tc>
      </w:tr>
      <w:tr>
        <w:trPr/>
        <w:tc>
          <w:tcPr>
            <w:tcW w:w="1745" w:type="dxa"/>
            <w:tcBorders/>
            <w:vAlign w:val="center"/>
          </w:tcPr>
          <w:p>
            <w:pPr>
              <w:pStyle w:val="TableContents"/>
              <w:bidi w:val="0"/>
              <w:spacing w:before="0" w:after="283"/>
              <w:jc w:val="left"/>
              <w:rPr/>
            </w:pPr>
            <w:r>
              <w:rPr/>
              <w:t xml:space="preserve">§ 318 </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 xml:space="preserve">16.02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reconciliation and tie shall not, for any purpose, be deemed to be a part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r>
        <w:rPr>
          <w:rFonts w:ascii="Times New Roman;Times;Serif" w:hAnsi="Times New Roman;Times;Serif"/>
          <w:b/>
          <w:i w:val="false"/>
          <w:caps w:val="false"/>
          <w:smallCaps w:val="false"/>
          <w:position w:val="7"/>
          <w:sz w:val="16"/>
          <w:sz w:val="20"/>
        </w:rPr>
        <w:t>*</w:t>
      </w:r>
    </w:p>
    <w:p>
      <w:pPr>
        <w:pStyle w:val="TextBody"/>
        <w:bidi w:val="0"/>
        <w:spacing w:before="0" w:after="0"/>
        <w:ind w:left="0" w:right="0" w:hanging="0"/>
        <w:jc w:val="center"/>
        <w:rPr/>
      </w:pPr>
      <w:r>
        <w:rPr>
          <w:caps w:val="false"/>
          <w:smallCaps w:val="false"/>
          <w:position w:val="8"/>
          <w:sz w:val="19"/>
        </w:rPr>
        <w:t> </w:t>
      </w:r>
      <w:r>
        <w:rPr/>
        <w:t xml:space="preserve"> </w:t>
      </w:r>
    </w:p>
    <w:tbl>
      <w:tblPr>
        <w:tblW w:w="7710" w:type="dxa"/>
        <w:jc w:val="left"/>
        <w:tblInd w:w="0" w:type="dxa"/>
        <w:tblLayout w:type="fixed"/>
        <w:tblCellMar>
          <w:top w:w="0" w:type="dxa"/>
          <w:left w:w="0" w:type="dxa"/>
          <w:bottom w:w="0" w:type="dxa"/>
          <w:right w:w="0" w:type="dxa"/>
        </w:tblCellMar>
      </w:tblPr>
      <w:tblGrid>
        <w:gridCol w:w="1055"/>
        <w:gridCol w:w="6125"/>
        <w:gridCol w:w="530"/>
      </w:tblGrid>
      <w:tr>
        <w:trPr/>
        <w:tc>
          <w:tcPr>
            <w:tcW w:w="1055"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right"/>
              <w:rPr/>
            </w:pPr>
            <w:r>
              <w:rPr/>
              <w:t> </w:t>
            </w:r>
          </w:p>
        </w:tc>
        <w:tc>
          <w:tcPr>
            <w:tcW w:w="5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w:t>
            </w:r>
          </w:p>
        </w:tc>
      </w:tr>
      <w:tr>
        <w:trPr/>
        <w:tc>
          <w:tcPr>
            <w:tcW w:w="7710"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ARTICLE I</w:t>
            </w:r>
          </w:p>
        </w:tc>
      </w:tr>
      <w:tr>
        <w:trPr/>
        <w:tc>
          <w:tcPr>
            <w:tcW w:w="7710" w:type="dxa"/>
            <w:gridSpan w:val="3"/>
            <w:tcBorders/>
            <w:vAlign w:val="center"/>
          </w:tcPr>
          <w:p>
            <w:pPr>
              <w:pStyle w:val="TableContents"/>
              <w:bidi w:val="0"/>
              <w:spacing w:before="0" w:after="283"/>
              <w:jc w:val="center"/>
              <w:rPr/>
            </w:pPr>
            <w:r>
              <w:rPr/>
              <w:t> </w:t>
            </w:r>
          </w:p>
        </w:tc>
      </w:tr>
      <w:tr>
        <w:trPr/>
        <w:tc>
          <w:tcPr>
            <w:tcW w:w="7710"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DEFINITIONS</w:t>
            </w:r>
          </w:p>
        </w:tc>
      </w:tr>
      <w:tr>
        <w:trPr/>
        <w:tc>
          <w:tcPr>
            <w:tcW w:w="1055"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7710"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ARTICLE II</w:t>
            </w:r>
          </w:p>
        </w:tc>
      </w:tr>
      <w:tr>
        <w:trPr/>
        <w:tc>
          <w:tcPr>
            <w:tcW w:w="7710" w:type="dxa"/>
            <w:gridSpan w:val="3"/>
            <w:tcBorders/>
            <w:vAlign w:val="center"/>
          </w:tcPr>
          <w:p>
            <w:pPr>
              <w:pStyle w:val="TableContents"/>
              <w:bidi w:val="0"/>
              <w:spacing w:before="0" w:after="283"/>
              <w:jc w:val="center"/>
              <w:rPr/>
            </w:pPr>
            <w:r>
              <w:rPr/>
              <w:t> </w:t>
            </w:r>
          </w:p>
        </w:tc>
      </w:tr>
      <w:tr>
        <w:trPr/>
        <w:tc>
          <w:tcPr>
            <w:tcW w:w="7710"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FORMS OF SECURITIES</w:t>
            </w:r>
          </w:p>
        </w:tc>
      </w:tr>
      <w:tr>
        <w:trPr/>
        <w:tc>
          <w:tcPr>
            <w:tcW w:w="1055"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2.01</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Terms of the Securities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2.02</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Trustee’s Certificate of Authentication</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2.03</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Trustee’s Certificate of Authentication by an Authenticating Agent</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7710" w:type="dxa"/>
            <w:gridSpan w:val="3"/>
            <w:tcBorders/>
            <w:vAlign w:val="center"/>
          </w:tcPr>
          <w:p>
            <w:pPr>
              <w:pStyle w:val="TableContents"/>
              <w:bidi w:val="0"/>
              <w:spacing w:before="0" w:after="283"/>
              <w:jc w:val="center"/>
              <w:rPr/>
            </w:pPr>
            <w:r>
              <w:rPr/>
              <w:t> </w:t>
            </w:r>
          </w:p>
        </w:tc>
      </w:tr>
      <w:tr>
        <w:trPr/>
        <w:tc>
          <w:tcPr>
            <w:tcW w:w="7710"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ARTICLE III</w:t>
            </w:r>
          </w:p>
        </w:tc>
      </w:tr>
      <w:tr>
        <w:trPr/>
        <w:tc>
          <w:tcPr>
            <w:tcW w:w="7710" w:type="dxa"/>
            <w:gridSpan w:val="3"/>
            <w:tcBorders/>
            <w:vAlign w:val="center"/>
          </w:tcPr>
          <w:p>
            <w:pPr>
              <w:pStyle w:val="TableContents"/>
              <w:bidi w:val="0"/>
              <w:spacing w:before="0" w:after="283"/>
              <w:jc w:val="center"/>
              <w:rPr/>
            </w:pPr>
            <w:r>
              <w:rPr/>
              <w:t> </w:t>
            </w:r>
          </w:p>
        </w:tc>
      </w:tr>
      <w:tr>
        <w:trPr/>
        <w:tc>
          <w:tcPr>
            <w:tcW w:w="7710"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DEBT SECURITIES</w:t>
            </w:r>
          </w:p>
        </w:tc>
      </w:tr>
      <w:tr>
        <w:trPr/>
        <w:tc>
          <w:tcPr>
            <w:tcW w:w="1055"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3.01</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 Unlimited; Issuable in Series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3.02</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Denominations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3.03</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 Authentication, Delivery and Dating</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3.04</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Temporary Securities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3.05</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Registrar</w:t>
            </w:r>
          </w:p>
        </w:tc>
        <w:tc>
          <w:tcPr>
            <w:tcW w:w="530" w:type="dxa"/>
            <w:tcBorders/>
            <w:vAlign w:val="center"/>
          </w:tcPr>
          <w:p>
            <w:pPr>
              <w:pStyle w:val="TableContents"/>
              <w:bidi w:val="0"/>
              <w:spacing w:before="0" w:after="283"/>
              <w:jc w:val="right"/>
              <w:rPr/>
            </w:pPr>
            <w:r>
              <w:rPr/>
              <w:t>19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3.06</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 and Exchange</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3.07</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Mutilated, Destroyed, Lost and Stolen Securities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3.08</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Interest; Interest Rights Preserved</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3.09</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Cancellation</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3.10</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Computation of Interest</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3.11</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Currency of Payments in Respect of Securities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3.12</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Judgments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3.13</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Numbers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7710" w:type="dxa"/>
            <w:gridSpan w:val="3"/>
            <w:tcBorders/>
            <w:vAlign w:val="center"/>
          </w:tcPr>
          <w:p>
            <w:pPr>
              <w:pStyle w:val="TableContents"/>
              <w:bidi w:val="0"/>
              <w:spacing w:before="0" w:after="283"/>
              <w:jc w:val="center"/>
              <w:rPr/>
            </w:pPr>
            <w:r>
              <w:rPr/>
              <w:t> </w:t>
            </w:r>
          </w:p>
        </w:tc>
      </w:tr>
      <w:tr>
        <w:trPr/>
        <w:tc>
          <w:tcPr>
            <w:tcW w:w="7710"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ARTICLE IV</w:t>
            </w:r>
          </w:p>
        </w:tc>
      </w:tr>
      <w:tr>
        <w:trPr/>
        <w:tc>
          <w:tcPr>
            <w:tcW w:w="7710" w:type="dxa"/>
            <w:gridSpan w:val="3"/>
            <w:tcBorders/>
            <w:vAlign w:val="center"/>
          </w:tcPr>
          <w:p>
            <w:pPr>
              <w:pStyle w:val="TableContents"/>
              <w:bidi w:val="0"/>
              <w:spacing w:before="0" w:after="283"/>
              <w:jc w:val="center"/>
              <w:rPr/>
            </w:pPr>
            <w:r>
              <w:rPr/>
              <w:t> </w:t>
            </w:r>
          </w:p>
        </w:tc>
      </w:tr>
      <w:tr>
        <w:trPr/>
        <w:tc>
          <w:tcPr>
            <w:tcW w:w="7710"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REDEMPTION OF SECURITIES</w:t>
            </w:r>
          </w:p>
        </w:tc>
      </w:tr>
      <w:tr>
        <w:trPr/>
        <w:tc>
          <w:tcPr>
            <w:tcW w:w="1055"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4.01</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Applicability of Right of Redemption</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4.02</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Selection of Securities to be Redeemed</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4.03</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Redemption</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4.04</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 of Redemption Price</w:t>
            </w:r>
          </w:p>
        </w:tc>
        <w:tc>
          <w:tcPr>
            <w:tcW w:w="530" w:type="dxa"/>
            <w:tcBorders/>
            <w:vAlign w:val="center"/>
          </w:tcPr>
          <w:p>
            <w:pPr>
              <w:pStyle w:val="TableContents"/>
              <w:bidi w:val="0"/>
              <w:spacing w:before="0" w:after="283"/>
              <w:jc w:val="right"/>
              <w:rPr/>
            </w:pPr>
            <w:r>
              <w:rPr/>
              <w:t>29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4.05</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Payable on Redemption Date</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4.06</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Redeemed in Part</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position w:val="8"/>
          <w:sz w:val="19"/>
        </w:rPr>
        <w:t>*</w:t>
      </w:r>
      <w:r>
        <w:rPr/>
        <w:t xml:space="preserve">     The Table of Contents is not a part of the Indenture.</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940" w:type="dxa"/>
        <w:jc w:val="left"/>
        <w:tblInd w:w="0" w:type="dxa"/>
        <w:tblLayout w:type="fixed"/>
        <w:tblCellMar>
          <w:top w:w="0" w:type="dxa"/>
          <w:left w:w="0" w:type="dxa"/>
          <w:bottom w:w="0" w:type="dxa"/>
          <w:right w:w="0" w:type="dxa"/>
        </w:tblCellMar>
      </w:tblPr>
      <w:tblGrid>
        <w:gridCol w:w="1055"/>
        <w:gridCol w:w="4640"/>
        <w:gridCol w:w="245"/>
      </w:tblGrid>
      <w:tr>
        <w:trPr/>
        <w:tc>
          <w:tcPr>
            <w:tcW w:w="5940"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ARTICLE V</w:t>
            </w:r>
          </w:p>
        </w:tc>
      </w:tr>
      <w:tr>
        <w:trPr/>
        <w:tc>
          <w:tcPr>
            <w:tcW w:w="5940" w:type="dxa"/>
            <w:gridSpan w:val="3"/>
            <w:tcBorders/>
            <w:vAlign w:val="center"/>
          </w:tcPr>
          <w:p>
            <w:pPr>
              <w:pStyle w:val="TableContents"/>
              <w:bidi w:val="0"/>
              <w:spacing w:before="0" w:after="283"/>
              <w:jc w:val="center"/>
              <w:rPr/>
            </w:pPr>
            <w:r>
              <w:rPr/>
              <w:t> </w:t>
            </w:r>
          </w:p>
        </w:tc>
      </w:tr>
      <w:tr>
        <w:trPr/>
        <w:tc>
          <w:tcPr>
            <w:tcW w:w="5940"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SINKING FUNDS</w:t>
            </w:r>
          </w:p>
        </w:tc>
      </w:tr>
      <w:tr>
        <w:trPr/>
        <w:tc>
          <w:tcPr>
            <w:tcW w:w="1055"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5.01</w:t>
            </w:r>
          </w:p>
        </w:tc>
        <w:tc>
          <w:tcPr>
            <w:tcW w:w="4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Applicability of Sinking Fund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5.02</w:t>
            </w:r>
          </w:p>
        </w:tc>
        <w:tc>
          <w:tcPr>
            <w:tcW w:w="4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Mandatory Sinking Fund Obligation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5.03</w:t>
            </w:r>
          </w:p>
        </w:tc>
        <w:tc>
          <w:tcPr>
            <w:tcW w:w="4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Optional Redemption at Sinking Fund Redemption Price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5.04</w:t>
            </w:r>
          </w:p>
        </w:tc>
        <w:tc>
          <w:tcPr>
            <w:tcW w:w="4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Sinking Fund Payment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5940" w:type="dxa"/>
            <w:gridSpan w:val="3"/>
            <w:tcBorders/>
            <w:vAlign w:val="center"/>
          </w:tcPr>
          <w:p>
            <w:pPr>
              <w:pStyle w:val="TableContents"/>
              <w:bidi w:val="0"/>
              <w:spacing w:before="0" w:after="283"/>
              <w:jc w:val="center"/>
              <w:rPr/>
            </w:pPr>
            <w:r>
              <w:rPr/>
              <w:t> </w:t>
            </w:r>
          </w:p>
        </w:tc>
      </w:tr>
      <w:tr>
        <w:trPr/>
        <w:tc>
          <w:tcPr>
            <w:tcW w:w="5940"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ARTICLE VI</w:t>
            </w:r>
          </w:p>
        </w:tc>
      </w:tr>
      <w:tr>
        <w:trPr/>
        <w:tc>
          <w:tcPr>
            <w:tcW w:w="5940" w:type="dxa"/>
            <w:gridSpan w:val="3"/>
            <w:tcBorders/>
            <w:vAlign w:val="center"/>
          </w:tcPr>
          <w:p>
            <w:pPr>
              <w:pStyle w:val="TableContents"/>
              <w:bidi w:val="0"/>
              <w:spacing w:before="0" w:after="283"/>
              <w:jc w:val="center"/>
              <w:rPr/>
            </w:pPr>
            <w:r>
              <w:rPr/>
              <w:t> </w:t>
            </w:r>
          </w:p>
        </w:tc>
      </w:tr>
      <w:tr>
        <w:trPr/>
        <w:tc>
          <w:tcPr>
            <w:tcW w:w="5940"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PARTICULAR COVENANTS OF THE COMPANY</w:t>
            </w:r>
          </w:p>
        </w:tc>
      </w:tr>
      <w:tr>
        <w:trPr/>
        <w:tc>
          <w:tcPr>
            <w:tcW w:w="1055"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6.01</w:t>
            </w:r>
          </w:p>
        </w:tc>
        <w:tc>
          <w:tcPr>
            <w:tcW w:w="4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of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6.02</w:t>
            </w:r>
          </w:p>
        </w:tc>
        <w:tc>
          <w:tcPr>
            <w:tcW w:w="4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Paying Agent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6.03</w:t>
            </w:r>
          </w:p>
        </w:tc>
        <w:tc>
          <w:tcPr>
            <w:tcW w:w="4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Hold Payment in Trust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6.04</w:t>
            </w:r>
          </w:p>
        </w:tc>
        <w:tc>
          <w:tcPr>
            <w:tcW w:w="4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Consolidation and Sale of Assets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6.05</w:t>
            </w:r>
          </w:p>
        </w:tc>
        <w:tc>
          <w:tcPr>
            <w:tcW w:w="4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Certificate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6.06</w:t>
            </w:r>
          </w:p>
        </w:tc>
        <w:tc>
          <w:tcPr>
            <w:tcW w:w="4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Conditional Waiver by Holders of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6.07</w:t>
            </w:r>
          </w:p>
        </w:tc>
        <w:tc>
          <w:tcPr>
            <w:tcW w:w="4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Statement by Officers as to Default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5940" w:type="dxa"/>
            <w:gridSpan w:val="3"/>
            <w:tcBorders/>
            <w:vAlign w:val="center"/>
          </w:tcPr>
          <w:p>
            <w:pPr>
              <w:pStyle w:val="TableContents"/>
              <w:bidi w:val="0"/>
              <w:spacing w:before="0" w:after="283"/>
              <w:jc w:val="center"/>
              <w:rPr/>
            </w:pPr>
            <w:r>
              <w:rPr/>
              <w:t> </w:t>
            </w:r>
          </w:p>
        </w:tc>
      </w:tr>
      <w:tr>
        <w:trPr/>
        <w:tc>
          <w:tcPr>
            <w:tcW w:w="5940"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ARTICLE VII</w:t>
            </w:r>
          </w:p>
        </w:tc>
      </w:tr>
      <w:tr>
        <w:trPr/>
        <w:tc>
          <w:tcPr>
            <w:tcW w:w="5940" w:type="dxa"/>
            <w:gridSpan w:val="3"/>
            <w:tcBorders/>
            <w:vAlign w:val="center"/>
          </w:tcPr>
          <w:p>
            <w:pPr>
              <w:pStyle w:val="TableContents"/>
              <w:bidi w:val="0"/>
              <w:spacing w:before="0" w:after="283"/>
              <w:jc w:val="center"/>
              <w:rPr/>
            </w:pPr>
            <w:r>
              <w:rPr/>
              <w:t> </w:t>
            </w:r>
          </w:p>
        </w:tc>
      </w:tr>
      <w:tr>
        <w:trPr/>
        <w:tc>
          <w:tcPr>
            <w:tcW w:w="5940"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REMEDIES OF TRUSTEE AND SECURITYHOLDERS</w:t>
            </w:r>
          </w:p>
        </w:tc>
      </w:tr>
      <w:tr>
        <w:trPr/>
        <w:tc>
          <w:tcPr>
            <w:tcW w:w="1055"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7.01</w:t>
            </w:r>
          </w:p>
        </w:tc>
        <w:tc>
          <w:tcPr>
            <w:tcW w:w="4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Events of Default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7.02</w:t>
            </w:r>
          </w:p>
        </w:tc>
        <w:tc>
          <w:tcPr>
            <w:tcW w:w="4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Acceleration; Rescission and Annulment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7.03</w:t>
            </w:r>
          </w:p>
        </w:tc>
        <w:tc>
          <w:tcPr>
            <w:tcW w:w="4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Remedies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7.04</w:t>
            </w:r>
          </w:p>
        </w:tc>
        <w:tc>
          <w:tcPr>
            <w:tcW w:w="4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as Attorney-in-Fact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7.05</w:t>
            </w:r>
          </w:p>
        </w:tc>
        <w:tc>
          <w:tcPr>
            <w:tcW w:w="4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7.06</w:t>
            </w:r>
          </w:p>
        </w:tc>
        <w:tc>
          <w:tcPr>
            <w:tcW w:w="4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Control by Securityholders; Waiver of Past Defaults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7.07</w:t>
            </w:r>
          </w:p>
        </w:tc>
        <w:tc>
          <w:tcPr>
            <w:tcW w:w="4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Suits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7.08</w:t>
            </w:r>
          </w:p>
        </w:tc>
        <w:tc>
          <w:tcPr>
            <w:tcW w:w="4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Undertaking for Costs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7.09</w:t>
            </w:r>
          </w:p>
        </w:tc>
        <w:tc>
          <w:tcPr>
            <w:tcW w:w="4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Remedies Cumulative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5940" w:type="dxa"/>
            <w:gridSpan w:val="3"/>
            <w:tcBorders/>
            <w:vAlign w:val="center"/>
          </w:tcPr>
          <w:p>
            <w:pPr>
              <w:pStyle w:val="TableContents"/>
              <w:bidi w:val="0"/>
              <w:spacing w:before="0" w:after="283"/>
              <w:jc w:val="center"/>
              <w:rPr/>
            </w:pPr>
            <w:r>
              <w:rPr/>
              <w:t> </w:t>
            </w:r>
          </w:p>
        </w:tc>
      </w:tr>
      <w:tr>
        <w:trPr/>
        <w:tc>
          <w:tcPr>
            <w:tcW w:w="5940"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ARTICLE VIII</w:t>
            </w:r>
          </w:p>
        </w:tc>
      </w:tr>
      <w:tr>
        <w:trPr/>
        <w:tc>
          <w:tcPr>
            <w:tcW w:w="5940" w:type="dxa"/>
            <w:gridSpan w:val="3"/>
            <w:tcBorders/>
            <w:vAlign w:val="center"/>
          </w:tcPr>
          <w:p>
            <w:pPr>
              <w:pStyle w:val="TableContents"/>
              <w:bidi w:val="0"/>
              <w:spacing w:before="0" w:after="283"/>
              <w:jc w:val="center"/>
              <w:rPr/>
            </w:pPr>
            <w:r>
              <w:rPr/>
              <w:t> </w:t>
            </w:r>
          </w:p>
        </w:tc>
      </w:tr>
      <w:tr>
        <w:trPr/>
        <w:tc>
          <w:tcPr>
            <w:tcW w:w="5940"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CONCERNING THE SECURITYHOLDERS</w:t>
            </w:r>
          </w:p>
        </w:tc>
      </w:tr>
      <w:tr>
        <w:trPr/>
        <w:tc>
          <w:tcPr>
            <w:tcW w:w="1055"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8.01</w:t>
            </w:r>
          </w:p>
        </w:tc>
        <w:tc>
          <w:tcPr>
            <w:tcW w:w="4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Evidence of Action of Securityholders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8.02</w:t>
            </w:r>
          </w:p>
        </w:tc>
        <w:tc>
          <w:tcPr>
            <w:tcW w:w="4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Proof of Execution or Holding of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8.03</w:t>
            </w:r>
          </w:p>
        </w:tc>
        <w:tc>
          <w:tcPr>
            <w:tcW w:w="4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Deemed Owners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8.04</w:t>
            </w:r>
          </w:p>
        </w:tc>
        <w:tc>
          <w:tcPr>
            <w:tcW w:w="4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Consents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180" w:type="dxa"/>
        <w:jc w:val="left"/>
        <w:tblInd w:w="0" w:type="dxa"/>
        <w:tblLayout w:type="fixed"/>
        <w:tblCellMar>
          <w:top w:w="0" w:type="dxa"/>
          <w:left w:w="0" w:type="dxa"/>
          <w:bottom w:w="0" w:type="dxa"/>
          <w:right w:w="0" w:type="dxa"/>
        </w:tblCellMar>
      </w:tblPr>
      <w:tblGrid>
        <w:gridCol w:w="1160"/>
        <w:gridCol w:w="7775"/>
        <w:gridCol w:w="245"/>
      </w:tblGrid>
      <w:tr>
        <w:trPr/>
        <w:tc>
          <w:tcPr>
            <w:tcW w:w="9180"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ARTICLE IX</w:t>
            </w:r>
          </w:p>
        </w:tc>
      </w:tr>
      <w:tr>
        <w:trPr/>
        <w:tc>
          <w:tcPr>
            <w:tcW w:w="9180" w:type="dxa"/>
            <w:gridSpan w:val="3"/>
            <w:tcBorders/>
            <w:vAlign w:val="center"/>
          </w:tcPr>
          <w:p>
            <w:pPr>
              <w:pStyle w:val="TableContents"/>
              <w:bidi w:val="0"/>
              <w:spacing w:before="0" w:after="283"/>
              <w:jc w:val="center"/>
              <w:rPr/>
            </w:pPr>
            <w:r>
              <w:rPr/>
              <w:t> </w:t>
            </w:r>
          </w:p>
        </w:tc>
      </w:tr>
      <w:tr>
        <w:trPr/>
        <w:tc>
          <w:tcPr>
            <w:tcW w:w="9180"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SECURITYHOLDERS’ MEETINGS</w:t>
            </w:r>
          </w:p>
        </w:tc>
      </w:tr>
      <w:tr>
        <w:trPr/>
        <w:tc>
          <w:tcPr>
            <w:tcW w:w="1160"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9.01</w:t>
            </w:r>
          </w:p>
        </w:tc>
        <w:tc>
          <w:tcPr>
            <w:tcW w:w="7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Purposes of Meetings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9.02</w:t>
            </w:r>
          </w:p>
        </w:tc>
        <w:tc>
          <w:tcPr>
            <w:tcW w:w="7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Call of Meetings by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9.03</w:t>
            </w:r>
          </w:p>
        </w:tc>
        <w:tc>
          <w:tcPr>
            <w:tcW w:w="7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Call of Meetings by Company or Securityholders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9.04</w:t>
            </w:r>
          </w:p>
        </w:tc>
        <w:tc>
          <w:tcPr>
            <w:tcW w:w="7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Qualifications for Voting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9.05</w:t>
            </w:r>
          </w:p>
        </w:tc>
        <w:tc>
          <w:tcPr>
            <w:tcW w:w="7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Regulation of Meetings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9.06</w:t>
            </w:r>
          </w:p>
        </w:tc>
        <w:tc>
          <w:tcPr>
            <w:tcW w:w="7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9.07</w:t>
            </w:r>
          </w:p>
        </w:tc>
        <w:tc>
          <w:tcPr>
            <w:tcW w:w="7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Delay of Rights by Meeting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9180" w:type="dxa"/>
            <w:gridSpan w:val="3"/>
            <w:tcBorders/>
            <w:vAlign w:val="center"/>
          </w:tcPr>
          <w:p>
            <w:pPr>
              <w:pStyle w:val="TableContents"/>
              <w:bidi w:val="0"/>
              <w:spacing w:before="0" w:after="283"/>
              <w:jc w:val="center"/>
              <w:rPr/>
            </w:pPr>
            <w:r>
              <w:rPr/>
              <w:t> </w:t>
            </w:r>
          </w:p>
        </w:tc>
      </w:tr>
      <w:tr>
        <w:trPr/>
        <w:tc>
          <w:tcPr>
            <w:tcW w:w="9180"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ARTICLE X</w:t>
            </w:r>
          </w:p>
        </w:tc>
      </w:tr>
      <w:tr>
        <w:trPr/>
        <w:tc>
          <w:tcPr>
            <w:tcW w:w="9180" w:type="dxa"/>
            <w:gridSpan w:val="3"/>
            <w:tcBorders/>
            <w:vAlign w:val="center"/>
          </w:tcPr>
          <w:p>
            <w:pPr>
              <w:pStyle w:val="TableContents"/>
              <w:bidi w:val="0"/>
              <w:spacing w:before="0" w:after="283"/>
              <w:jc w:val="center"/>
              <w:rPr/>
            </w:pPr>
            <w:r>
              <w:rPr/>
              <w:t> </w:t>
            </w:r>
          </w:p>
        </w:tc>
      </w:tr>
      <w:tr>
        <w:trPr/>
        <w:tc>
          <w:tcPr>
            <w:tcW w:w="9180"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REPORTS BY THE COMPANY AND THE TRUSTEE AND</w:t>
            </w:r>
          </w:p>
        </w:tc>
      </w:tr>
      <w:tr>
        <w:trPr/>
        <w:tc>
          <w:tcPr>
            <w:tcW w:w="9180"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SECURITYHOLDERS’ LISTS</w:t>
            </w:r>
          </w:p>
        </w:tc>
      </w:tr>
      <w:tr>
        <w:trPr/>
        <w:tc>
          <w:tcPr>
            <w:tcW w:w="1160"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10.01</w:t>
            </w:r>
          </w:p>
        </w:tc>
        <w:tc>
          <w:tcPr>
            <w:tcW w:w="7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Reports by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10.02</w:t>
            </w:r>
          </w:p>
        </w:tc>
        <w:tc>
          <w:tcPr>
            <w:tcW w:w="7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Reports by the Company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10.03</w:t>
            </w:r>
          </w:p>
        </w:tc>
        <w:tc>
          <w:tcPr>
            <w:tcW w:w="7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Securityholders’ Lists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9180" w:type="dxa"/>
            <w:gridSpan w:val="3"/>
            <w:tcBorders/>
            <w:vAlign w:val="center"/>
          </w:tcPr>
          <w:p>
            <w:pPr>
              <w:pStyle w:val="TableContents"/>
              <w:bidi w:val="0"/>
              <w:spacing w:before="0" w:after="283"/>
              <w:jc w:val="center"/>
              <w:rPr/>
            </w:pPr>
            <w:r>
              <w:rPr/>
              <w:t> </w:t>
            </w:r>
          </w:p>
        </w:tc>
      </w:tr>
      <w:tr>
        <w:trPr/>
        <w:tc>
          <w:tcPr>
            <w:tcW w:w="9180"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ARTICLE XI</w:t>
            </w:r>
          </w:p>
        </w:tc>
      </w:tr>
      <w:tr>
        <w:trPr/>
        <w:tc>
          <w:tcPr>
            <w:tcW w:w="9180" w:type="dxa"/>
            <w:gridSpan w:val="3"/>
            <w:tcBorders/>
            <w:vAlign w:val="center"/>
          </w:tcPr>
          <w:p>
            <w:pPr>
              <w:pStyle w:val="TableContents"/>
              <w:bidi w:val="0"/>
              <w:spacing w:before="0" w:after="283"/>
              <w:jc w:val="center"/>
              <w:rPr/>
            </w:pPr>
            <w:r>
              <w:rPr/>
              <w:t> </w:t>
            </w:r>
          </w:p>
        </w:tc>
      </w:tr>
      <w:tr>
        <w:trPr/>
        <w:tc>
          <w:tcPr>
            <w:tcW w:w="9180"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CONCERNING THE TRUSTEE</w:t>
            </w:r>
          </w:p>
        </w:tc>
      </w:tr>
      <w:tr>
        <w:trPr/>
        <w:tc>
          <w:tcPr>
            <w:tcW w:w="1160"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11.01</w:t>
            </w:r>
          </w:p>
        </w:tc>
        <w:tc>
          <w:tcPr>
            <w:tcW w:w="7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Trustees; Compensation and Indemnity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11.02</w:t>
            </w:r>
          </w:p>
        </w:tc>
        <w:tc>
          <w:tcPr>
            <w:tcW w:w="7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Duties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11.03</w:t>
            </w:r>
          </w:p>
        </w:tc>
        <w:tc>
          <w:tcPr>
            <w:tcW w:w="7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Defaults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11.04</w:t>
            </w:r>
          </w:p>
        </w:tc>
        <w:tc>
          <w:tcPr>
            <w:tcW w:w="7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Eligibility; Disqualification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11.05</w:t>
            </w:r>
          </w:p>
        </w:tc>
        <w:tc>
          <w:tcPr>
            <w:tcW w:w="7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Resignation and Notice; Removal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11.06</w:t>
            </w:r>
          </w:p>
        </w:tc>
        <w:tc>
          <w:tcPr>
            <w:tcW w:w="7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 Trustee by Appointment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11.07</w:t>
            </w:r>
          </w:p>
        </w:tc>
        <w:tc>
          <w:tcPr>
            <w:tcW w:w="7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 Trustee by Merger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11.08</w:t>
            </w:r>
          </w:p>
        </w:tc>
        <w:tc>
          <w:tcPr>
            <w:tcW w:w="7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to Rely on Officer’s Certificate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11.09</w:t>
            </w:r>
          </w:p>
        </w:tc>
        <w:tc>
          <w:tcPr>
            <w:tcW w:w="7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of Authenticating Agent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11.10</w:t>
            </w:r>
          </w:p>
        </w:tc>
        <w:tc>
          <w:tcPr>
            <w:tcW w:w="7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Communications by Securityholders with Other Securityholders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9180" w:type="dxa"/>
            <w:gridSpan w:val="3"/>
            <w:tcBorders/>
            <w:vAlign w:val="center"/>
          </w:tcPr>
          <w:p>
            <w:pPr>
              <w:pStyle w:val="TableContents"/>
              <w:bidi w:val="0"/>
              <w:spacing w:before="0" w:after="283"/>
              <w:jc w:val="center"/>
              <w:rPr/>
            </w:pPr>
            <w:r>
              <w:rPr/>
              <w:t> </w:t>
            </w:r>
          </w:p>
        </w:tc>
      </w:tr>
      <w:tr>
        <w:trPr/>
        <w:tc>
          <w:tcPr>
            <w:tcW w:w="9180"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ARTICLE XII</w:t>
            </w:r>
          </w:p>
        </w:tc>
      </w:tr>
      <w:tr>
        <w:trPr/>
        <w:tc>
          <w:tcPr>
            <w:tcW w:w="9180" w:type="dxa"/>
            <w:gridSpan w:val="3"/>
            <w:tcBorders/>
            <w:vAlign w:val="center"/>
          </w:tcPr>
          <w:p>
            <w:pPr>
              <w:pStyle w:val="TableContents"/>
              <w:bidi w:val="0"/>
              <w:spacing w:before="0" w:after="283"/>
              <w:jc w:val="center"/>
              <w:rPr/>
            </w:pPr>
            <w:r>
              <w:rPr/>
              <w:t> </w:t>
            </w:r>
          </w:p>
        </w:tc>
      </w:tr>
      <w:tr>
        <w:trPr/>
        <w:tc>
          <w:tcPr>
            <w:tcW w:w="9180"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SATISFACTION AND DISCHARGE; DEFEASANCE</w:t>
            </w:r>
          </w:p>
        </w:tc>
      </w:tr>
      <w:tr>
        <w:trPr/>
        <w:tc>
          <w:tcPr>
            <w:tcW w:w="1160"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12.01</w:t>
            </w:r>
          </w:p>
        </w:tc>
        <w:tc>
          <w:tcPr>
            <w:tcW w:w="7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Applicability of Article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12.02</w:t>
            </w:r>
          </w:p>
        </w:tc>
        <w:tc>
          <w:tcPr>
            <w:tcW w:w="7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Satisfaction and Discharge of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12.03</w:t>
            </w:r>
          </w:p>
        </w:tc>
        <w:tc>
          <w:tcPr>
            <w:tcW w:w="7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Defeasance and Covenant Defeasance upon Deposit of Moneys or U.S. Government Obligations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12.04</w:t>
            </w:r>
          </w:p>
        </w:tc>
        <w:tc>
          <w:tcPr>
            <w:tcW w:w="7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to Company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12.05</w:t>
            </w:r>
          </w:p>
        </w:tc>
        <w:tc>
          <w:tcPr>
            <w:tcW w:w="7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Indemnity for U.S. Government Obligations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12.06</w:t>
            </w:r>
          </w:p>
        </w:tc>
        <w:tc>
          <w:tcPr>
            <w:tcW w:w="7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12.07</w:t>
            </w:r>
          </w:p>
        </w:tc>
        <w:tc>
          <w:tcPr>
            <w:tcW w:w="7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Trust Money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12.08</w:t>
            </w:r>
          </w:p>
        </w:tc>
        <w:tc>
          <w:tcPr>
            <w:tcW w:w="7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Deposits of Non-U.S. Currencies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565" w:type="dxa"/>
        <w:jc w:val="left"/>
        <w:tblInd w:w="0" w:type="dxa"/>
        <w:tblLayout w:type="fixed"/>
        <w:tblCellMar>
          <w:top w:w="0" w:type="dxa"/>
          <w:left w:w="0" w:type="dxa"/>
          <w:bottom w:w="0" w:type="dxa"/>
          <w:right w:w="0" w:type="dxa"/>
        </w:tblCellMar>
      </w:tblPr>
      <w:tblGrid>
        <w:gridCol w:w="1160"/>
        <w:gridCol w:w="7130"/>
        <w:gridCol w:w="275"/>
      </w:tblGrid>
      <w:tr>
        <w:trPr/>
        <w:tc>
          <w:tcPr>
            <w:tcW w:w="8565"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ARTICLE XIII</w:t>
            </w:r>
          </w:p>
        </w:tc>
      </w:tr>
      <w:tr>
        <w:trPr/>
        <w:tc>
          <w:tcPr>
            <w:tcW w:w="8565" w:type="dxa"/>
            <w:gridSpan w:val="3"/>
            <w:tcBorders/>
            <w:vAlign w:val="center"/>
          </w:tcPr>
          <w:p>
            <w:pPr>
              <w:pStyle w:val="TableContents"/>
              <w:bidi w:val="0"/>
              <w:spacing w:before="0" w:after="283"/>
              <w:jc w:val="center"/>
              <w:rPr/>
            </w:pPr>
            <w:r>
              <w:rPr/>
              <w:t> </w:t>
            </w:r>
          </w:p>
        </w:tc>
      </w:tr>
      <w:tr>
        <w:trPr/>
        <w:tc>
          <w:tcPr>
            <w:tcW w:w="8565"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IMMUNITY OF CERTAIN PERSONS</w:t>
            </w:r>
          </w:p>
        </w:tc>
      </w:tr>
      <w:tr>
        <w:trPr/>
        <w:tc>
          <w:tcPr>
            <w:tcW w:w="11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13.01</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Personal Liability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8565" w:type="dxa"/>
            <w:gridSpan w:val="3"/>
            <w:tcBorders/>
            <w:vAlign w:val="center"/>
          </w:tcPr>
          <w:p>
            <w:pPr>
              <w:pStyle w:val="TableContents"/>
              <w:bidi w:val="0"/>
              <w:spacing w:before="0" w:after="283"/>
              <w:jc w:val="center"/>
              <w:rPr/>
            </w:pPr>
            <w:r>
              <w:rPr/>
              <w:t> </w:t>
            </w:r>
          </w:p>
        </w:tc>
      </w:tr>
      <w:tr>
        <w:trPr/>
        <w:tc>
          <w:tcPr>
            <w:tcW w:w="8565"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ARTICLE XIV</w:t>
            </w:r>
          </w:p>
        </w:tc>
      </w:tr>
      <w:tr>
        <w:trPr/>
        <w:tc>
          <w:tcPr>
            <w:tcW w:w="8565" w:type="dxa"/>
            <w:gridSpan w:val="3"/>
            <w:tcBorders/>
            <w:vAlign w:val="center"/>
          </w:tcPr>
          <w:p>
            <w:pPr>
              <w:pStyle w:val="TableContents"/>
              <w:bidi w:val="0"/>
              <w:spacing w:before="0" w:after="283"/>
              <w:jc w:val="center"/>
              <w:rPr/>
            </w:pPr>
            <w:r>
              <w:rPr/>
              <w:t> </w:t>
            </w:r>
          </w:p>
        </w:tc>
      </w:tr>
      <w:tr>
        <w:trPr/>
        <w:tc>
          <w:tcPr>
            <w:tcW w:w="8565"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SUPPLEMENTAL INDENTURES</w:t>
            </w:r>
          </w:p>
        </w:tc>
      </w:tr>
      <w:tr>
        <w:trPr/>
        <w:tc>
          <w:tcPr>
            <w:tcW w:w="11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14.01</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Without Consent of Securityholders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14.02</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Consent of Securityholders; Limitations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14.03</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Protected</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14.04</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Execution of Supplemental Indenture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14.05</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Notation on or Exchange of Securities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14.06</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Conformity with TIA</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8565" w:type="dxa"/>
            <w:gridSpan w:val="3"/>
            <w:tcBorders/>
            <w:vAlign w:val="center"/>
          </w:tcPr>
          <w:p>
            <w:pPr>
              <w:pStyle w:val="TableContents"/>
              <w:bidi w:val="0"/>
              <w:spacing w:before="0" w:after="283"/>
              <w:jc w:val="center"/>
              <w:rPr/>
            </w:pPr>
            <w:r>
              <w:rPr/>
              <w:t> </w:t>
            </w:r>
          </w:p>
        </w:tc>
      </w:tr>
      <w:tr>
        <w:trPr/>
        <w:tc>
          <w:tcPr>
            <w:tcW w:w="8565"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ARTICLE XV</w:t>
            </w:r>
          </w:p>
        </w:tc>
      </w:tr>
      <w:tr>
        <w:trPr/>
        <w:tc>
          <w:tcPr>
            <w:tcW w:w="8565" w:type="dxa"/>
            <w:gridSpan w:val="3"/>
            <w:tcBorders/>
            <w:vAlign w:val="center"/>
          </w:tcPr>
          <w:p>
            <w:pPr>
              <w:pStyle w:val="TableContents"/>
              <w:bidi w:val="0"/>
              <w:spacing w:before="0" w:after="283"/>
              <w:jc w:val="center"/>
              <w:rPr/>
            </w:pPr>
            <w:r>
              <w:rPr/>
              <w:t> </w:t>
            </w:r>
          </w:p>
        </w:tc>
      </w:tr>
      <w:tr>
        <w:trPr/>
        <w:tc>
          <w:tcPr>
            <w:tcW w:w="8565"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SUBORDINATION OF SECURITIES</w:t>
            </w:r>
          </w:p>
        </w:tc>
      </w:tr>
      <w:tr>
        <w:trPr/>
        <w:tc>
          <w:tcPr>
            <w:tcW w:w="11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15.01</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Agreement to Subordinate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15.02</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Distribution on Dissolution, Liquidation and Reorganization; Subrogation of Securities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15.03</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Payment on Securities in Event of Default on Senior Indebtedness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15.04</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on Securities Permitted</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15.05</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Authorization of Securityholders to Trustee to Effect Subordination</w:t>
            </w:r>
          </w:p>
        </w:tc>
        <w:tc>
          <w:tcPr>
            <w:tcW w:w="275" w:type="dxa"/>
            <w:tcBorders/>
            <w:vAlign w:val="center"/>
          </w:tcPr>
          <w:p>
            <w:pPr>
              <w:pStyle w:val="TableContents"/>
              <w:bidi w:val="0"/>
              <w:spacing w:before="0" w:after="283"/>
              <w:jc w:val="right"/>
              <w:rPr/>
            </w:pPr>
            <w:r>
              <w:rPr/>
              <w:t>69</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15.06</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 to Trustee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15.07</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as Holder of Senior Indebtedness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15.08</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Modifications of Terms of Senior Indebtedness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15.09</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Reliance on Judicial Order or Certificate of Liquidating Agent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15.10</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Satisfaction and Discharge; Defeasance and Covenant Defeasance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15.11</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Not Fiduciary for Holders of Senior Indebtedness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r>
      <w:tr>
        <w:trPr/>
        <w:tc>
          <w:tcPr>
            <w:tcW w:w="8565" w:type="dxa"/>
            <w:gridSpan w:val="3"/>
            <w:tcBorders/>
            <w:vAlign w:val="center"/>
          </w:tcPr>
          <w:p>
            <w:pPr>
              <w:pStyle w:val="TableContents"/>
              <w:bidi w:val="0"/>
              <w:spacing w:before="0" w:after="283"/>
              <w:jc w:val="center"/>
              <w:rPr/>
            </w:pPr>
            <w:r>
              <w:rPr/>
              <w:t> </w:t>
            </w:r>
          </w:p>
        </w:tc>
      </w:tr>
      <w:tr>
        <w:trPr/>
        <w:tc>
          <w:tcPr>
            <w:tcW w:w="8565"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ARTICLE XVI</w:t>
            </w:r>
          </w:p>
        </w:tc>
      </w:tr>
      <w:tr>
        <w:trPr/>
        <w:tc>
          <w:tcPr>
            <w:tcW w:w="8565" w:type="dxa"/>
            <w:gridSpan w:val="3"/>
            <w:tcBorders/>
            <w:vAlign w:val="center"/>
          </w:tcPr>
          <w:p>
            <w:pPr>
              <w:pStyle w:val="TableContents"/>
              <w:bidi w:val="0"/>
              <w:spacing w:before="0" w:after="283"/>
              <w:jc w:val="center"/>
              <w:rPr/>
            </w:pPr>
            <w:r>
              <w:rPr/>
              <w:t> </w:t>
            </w:r>
          </w:p>
        </w:tc>
      </w:tr>
      <w:tr>
        <w:trPr/>
        <w:tc>
          <w:tcPr>
            <w:tcW w:w="8565"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MISCELLANEOUS PROVISIONS</w:t>
            </w:r>
          </w:p>
        </w:tc>
      </w:tr>
      <w:tr>
        <w:trPr/>
        <w:tc>
          <w:tcPr>
            <w:tcW w:w="11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16.01</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Certificates and Opinions as to Conditions Precedent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16.02</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 Indenture Act Controls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16.03</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 to the Company and Trustee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16.04</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 to Securityholders; Waiver</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16.05</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Holiday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16.06</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Effects of Headings and Table of Contents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16.07</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Successors and Assigns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16.08</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Separability Clause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16.09</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Benefits of Indenture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16.10</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 Originals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16.11</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 WAIVER OF TRIAL BY JURY; Submission to Jurisdiction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16.12</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Electronic Signatures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16.13</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Force Majeure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iv</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___________,____, among Gemini Space Station, Inc., a Nevada corporation (the “Company”), and ____________, as trustee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WITNESSETH: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duly authorized the execution and delivery of this Indenture to provide for the issuance of unsecured debentures, notes, bonds or other evidences of indebtedness (the “Securities”) in an unlimited aggregate principal amount to be issued from time to time in one or more series as provided in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this Indenture a valid and legally binding agreement of the Company, in accordance with its terms, have been done.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THIS INDENTURE WITNESSETH: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in consideration of the premises and the purchase of the Securities by the Holders thereof for the equal and proportionate benefit of all of the present and future Holders of the Securities, each party agrees and covenants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of this Indenture, except as otherwise expressly provided or 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terms defined in this Article have the meanings assigned to them in this Article and include the plural as well as the singular;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otherwise defined in this Indenture or the context otherwise requires, all terms used herein without definition which are defined in the Trust Indenture Act, either directly or by reference therein, have the meanings assigned to them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words “herein,” “hereof” and “hereunder” and other words of similar import refer to this Indenture as a whole and not to any particular Article, Section or other subdivision;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references to “Article” or “Section” or other subdivision herein are references to an Article, Section or other subdivision of this Indenture, 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val="false"/>
          <w:caps w:val="false"/>
          <w:smallCaps w:val="false"/>
          <w:sz w:val="20"/>
          <w:u w:val="single"/>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the terms defined in this Section 1.01 shall for all purposes of this Indenture have the meanings hereinafter set forth: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“Affiliate,” with respect to any specified Person shall mean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“Authenticating Agent” shall have the meaning assigned to it in Section 11.09.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“Board of Directors” shall mean either the board of directors of the Company or the executive or any other committee of that board duly authorized to act in respect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“Board Resolution” shall mean a copy of a resolution or resolutions certified by the Secretary or an Assistant Secretary of the Company to have been duly adopted by the Board of Directors (or by a committee of the Board of Directors to the extent that any such other committee has been authorized by the Board of Directors to establish or approve the matters contemplated) and to be in full force and effect on the date of such certification and delivered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“Business Day,” when used with respect to any Place of Payment or any other particular location referred to in this Indenture or in the Securities, shall mean each Monday, Tuesday, Wednesday, Thursday and Friday which is not a day on which banking institutions in that Place of Payment or such location are authorized or obligated by law or executive order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“Capital Stock” shall mean: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a corporation, corporate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an association or business entity, any and all shares, interests, participations, rights or other equivalents (however designated) of corporate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case of a partnership or limited liability company, partnership interests (whether general or limited) or membership interests;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“Code” shall mean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“Company” shall mean the Person named as the “Company” in the first paragraph of this Indenture until a successor Person shall have become such pursuant to the applicable provisions of this Indenture, and thereafter “Company” shall mean such successor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“Company Order” shall mean a written order signed in the name of the Company by any Officer and delivered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Trust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“Corporate Trust Office,” or other similar term, shall mean the principal office of the Trustee at which at any particular time its corporate trust business shall be administered, which office at the date hereof is located at ______________, Attention: _________, or such other address as the Trustee may designate from time to time by notice to the Holders and the Company, or the principal corporate trust officer of any successor Trustee (or such other address as such successor Trustee may designate from time to time by notice to the Holders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“Currency” shall mean U.S. Dollars or Foreign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“Default” shall have the meaning assigned to it in Section 11.03.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Defaulted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“Defaulted Interest” shall have the same meaning assigned to it in Section 3.08(b).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“Depositary” shall mean, with respect to the Securities of any series issuable in whole or in part in the form of one or more Global Securities, each Person designated as Depositary by the Company pursuant to Section 3.01 until one or more successor Depositaries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Designated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“Designated Currency” shall have the same meaning assigned to it in Section 3.12.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Discharged: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“Discharged” shall have the meaning assigned to it in Section 12.03.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“DTC” shall mean The Depository Trust Company, Inc. and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“Event of Default” shall have the meaning specified in Section 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“Exchange Act” shall mean the United States Securities Exchange Act of 1934, and the rules and regulations promulgated by the SEC thereunder and any statute successor thereto, in each case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“Exchange Rate” shall have the meaning assigned to it in Section 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Floating Rate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“Floating Rate Security” shall mean a Security that provides for the payment of interest at a variable rate determined periodically by reference to an interest rate index specified pursuant to Section 3.01.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“Foreign Currency” shall mean a currency issued by the government of any country other than the United States or a composite currency, the value of which is determined by reference to the values of the currencies of any group of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“GAAP,” with respect to any computations required or permitted hereunder, shall mean generally accepted accounting principles in effect in the United States as in effect from time to time; provided, however, if the Company is required by the SEC to adopt (or is permitted to adopt and so adopts) a different accounting framework, including but not limited to the International Financial Reporting Standards, “GAAP” shall mean such new accounting framework as in effect from time to time, including, without limitation, in each case, those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If at any time any change in GAAP would affect the computation of any financial ratio or requirement set forth in this Agreement, and either the Company or the Holders of a majority of outstanding notes shall so request, the Company and the Holders of a majority of outstanding notes shall negotiate in good faith to amend such ratio or requirement to preserve the original intent thereof in light of such change in GAAP (subject to the approval of the Holders of a majority of outstanding notes); provided that, until so amended, (i) such ratio or requirement shall continue to be computed in accordance with GAAP prior to such change therein and (ii) the Company shall provide to the holders financial statements and other documents required under this Agreement or as reasonably requested hereunder setting forth a reconciliation between calculations of such ratio or requirement made before and after giving effect to such change in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“Global Security” shall mean any Security that evidences all or part of a series of Securities, issued in fully-registered certificated form to the Depositary for such series in accordance with Section 3.03 and bearing the legend prescribed in Section 3.03(g).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 Holder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“Holder” and “Holder of Securities” are defined under “Securityholder; Holder of Securities;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“Indebtedness” shall mean any and all obligations of a Person for money borrowed which, in accordance with GAAP, would be reflected on the balance sheet of such Person as a liability on the date as of which Indebtedness is to be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“Indenture” or “this Indenture” shall mean this instrument as originally executed or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3.01; provided, however, that if at any time more than one Person is acting as Trustee under this Indenture due to the appointment of one or more separate Trustees for any one or more separate series of Securities, “Indenture” shall mean, with respect to such series of Securities for which any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3.01,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provided, further, that in the event that this Indenture is supplemented or amended by one or more indentures supplemental hereto which are only applicable to certain series of Securities, the term “Indenture” for a particular series of Securities shall only include the supplemental indentures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Individual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“Individual Securities” shall have the meaning specified in Section 3.01(p).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“interest” shall mean, unless the context otherwise requires, interest payable on any Securities, and with respect to an Original Issue Discount Security that by its terms bears interest only after Maturity, interest payable after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“Interest Payment Date” shall mean, with respect to any Security, the Stated Maturity of an installment of interest on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Mandatory Sinking Fund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“Mandatory Sinking Fund Payment” shall have the meaning assigned to it in Section 5.01(b).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“Maturity,” with respect to any Security, shall mean the date on which the principal of such Security shall become due and payable as therein and herein provided, whether by declaration, call for redemption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“Members” shall have the meaning assigned to it in Section 3.03(i).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“Officer” shall mean the Chairman of the Board of Directors, the Chief Executive Officer, the Chief Commercial Officer, the Chief Financial Officer, the Treasurer, any Assistant Treasurer, the Controller, the Secretary or any Assistant Secretary and any Vice President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Officer’s Cert</w:t>
      </w:r>
      <w:r>
        <w:rPr>
          <w:rFonts w:ascii="Times New Roman;Times;Serif" w:hAnsi="Times New Roman;Times;Serif"/>
          <w:b w:val="false"/>
          <w:i w:val="false"/>
          <w:caps w:val="false"/>
          <w:smallCaps w:val="false"/>
          <w:sz w:val="20"/>
        </w:rPr>
        <w:t>i</w:t>
      </w:r>
      <w:r>
        <w:rPr>
          <w:rFonts w:ascii="Times New Roman;Times;Serif" w:hAnsi="Times New Roman;Times;Serif"/>
          <w:b/>
          <w:i w:val="false"/>
          <w:caps w:val="false"/>
          <w:smallCaps w:val="false"/>
          <w:sz w:val="20"/>
        </w:rPr>
        <w:t>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“Officer’s Certificate” shall mean a certificate signed by any Officer and delivered to the Trustee. Each such certificate shall include the statements provided for in Section 16.01 if and to the extent required by the provisions of such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of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“Opinion of Counsel” shall mean an opinion in writing signed by one or more legal counsel, who may be an employee of or of counsel to the Company, and meets the requirements provided for in Section 16.01.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Optional Sinking Fund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“Optional Sinking Fund Payment” shall have the meaning assigned to it in Section 5.01(b).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Original Issue Discount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“Original Issue Discount Security” shall mean any Security that is issued with “original issue discount” within the meaning of Section 1273(a) of the Code and the regulations thereunder, or any successor provision, and any other Security designated by the Company as issued with original issue discount for United States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“Outstanding,” when used with respect to Securities means, as of the date of determination, all Securities theretofore authenticated and delivered under this Indenture,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Securities theretofore canceled by the Trustee or delivered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Securities or portions thereof for which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or Securities as to which the Company’s obligations have been Discharged; provided, however, that if such Securities or portions thereof are to be redeemed, notice of such redemption has been duly given pursuant to this Indenture or provision therefor satisfactory to the Trustee has been made;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Securities that have been paid pursuant to Section 3.07(b) or in exchange for or in lieu of which other Securities have been authenticated and delivered pursuant to this Indenture, other than any such Securities in respect of which there shall have been presented to a Responsible Officer of the Trustee proof satisfactory to it that such Securities are held by a protected purchaser in whose hands such Securities are valid obligations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however, that in determining whether the Holders of the requisite principal amount of Securities of a series Outstanding have performed any action hereunder, Securities owned by the Company or any other obligor upon the Securities of such series or any Affiliate of the Company or of such other obligor shall be disregarded and deemed not to be Outstanding, except that, in determining whether the Trustee shall be protected in relying upon any such action, only Securities of such series that a Responsible Officer of the Trustee actually knows to be so owned shall be so disregarded. Securities so owned that have been pledged in good faith may be regarded as Outstanding if the pledgee establishes to the satisfaction of the Trustee the pledgee’s right to act with respect to such Securities and that the pledgee is not the Company or any other obligor upon such Securities or any Affiliate of the Company or of such other obligor. In determining whether the Holders of the requisite principal amount of Outstanding Securities of a series have performed any action hereunder, the principal amount of an Original Issue Discount Security that shall be deemed to be Outstanding for such purpose shall be the amount of the principal thereof that would be due and payable as of the date of such determination upon a declaration of acceleration of the Maturity thereof pursuant to Section 7.02 and the principal amount of a Security denominated in a Foreign Currency that shall be deemed to be Outstanding for such purpose shall be the amount calculated pursuant to Section 3.11(b).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“Paying Agent” shall have the meaning assigned to it in Section 6.02(a).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“Person” shall mean any individual, a corporation, a limited liability company, a partnership, an association, a joint stock company, a trust, an unincorporated organization or a government or an agency or political subdivision thereof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 of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“Place of Payment” shall mean, when used with respect to the Securities of any series, the place or places where the principal of and premium, if any, and interest on the Securities of that series are payable as specified pursuant to Section 3.01.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Predecessor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“Predecessor Security” shall mean, with respect to any Security, every previous Security evidencing all or a portion of the same Indebtedness as that evidenced by such particular Security, and, for the purposes of this definition, any Security authenticated and delivered under Section 3.07 in lieu of a lost, destroyed or stolen Security shall be deemed to evidence the same Indebtedness as the lost, destroyed or stolen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“Record Date” shall mean, with respect to any interest payable on any Security on any Interest Payment Date, any date specified in such Security or pursuant to Section 3.01 with respect to such Security as the record date for the payment of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“Redemption Date” shall mean, when used with respect to any Security to be redeemed, in whole or in part, the date fixed for such redemption by or pursuant to this Indenture and the terms of such Security, which, in the case of a Floating Rate Security, unless otherwise specified pursuant to Section 3.01, shall be an Interest Payment Date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“Redemption Price,” when used with respect to any Security to be redeemed, in whole or in part, shall mean the price at which it is to be redeemed pursuant to the terms of the applicable Security and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“Register” shall have the meaning assigned to it in Section 3.05(a).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“Registrar” shall have the meaning assigned to it in Section 3.05(a).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Responsible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“Responsible Officers” of the Trustee hereunder shall mean any vice president, any assistant vice president, any trust officer, any assistant trust officer, secretary, associate or any other officer associated with the corporate trust department of the Trustee customarily performing functions similar to those performed by any of the above designated officers, and also means, with respect to a particular corporate trust matter relating to this Indenture, any other officer of the Trustee to whom such matter is referred because of such person’s knowledge of and familiarity with the particular subject and who, in each case, shall have direct responsibility for the administration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“SEC” shall mean the United States Securities and Exchange Commission, as constituted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“Security” or “Securities” shall have the meaning stated in the recitals and shall more particularly mean one or more of the Securities duly authenticated by the Trustee and delivered pursuant to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Custodian: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“Security Custodian” shall mean the custodian with respect to any Global Security appointed by the Depositary, or any successor Person thereto, and shall initially be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Securityholder; Holder of Securities;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“Securityholder” or “Holder of Securities” or “Holder,” shall mean the Person in whose name Securities shall be registered in the Register kept for that purpose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“Senior Indebtedness” means the principal of (and premium, if any) and unpaid interest on (x) Indebtedness of the Company, whether outstanding on the date hereof or thereafter created, incurred, assumed or guaranteed, for money borrowed other than (a) any Indebtedness of the Company which when incurred, and without respect to any election under Section 1111(b) of the Federal Bankruptcy Code, was without recourse to the Company, (b) any Indebtedness of the Company to any of its Subsidiaries, (c) Indebtedness to any employee of the Company, (d) any liability for taxes, (e) Trade Payables and (f) any Indebtedness of the Company which is expressly subordinate in right of payment to any other Indebtedness of the Company, and (y) renewals, extensions, modifications and refundings of any such Indebtedness. For purposes of the foregoing and the definition of “Senior Indebtedness,” the phrase “subordinated in right of payment” means debt subordination only and not lien subordination, and accordingly, (i) unsecured indebtedness shall not be deemed to be subordinated in right of payment to secured indebtedness merely by virtue of the fact that it is unsecured, and (ii) junior liens, second liens and other contractual arrangements that provide for priorities among Holders of the same or different issues of indebtedness with respect to any collateral or the proceeds of collateral shall not constitute subordination in right of payment. This definition may be modified or superseded by a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“Special Record Date” shall have the meaning assigned to it in Section 3.08(b)(i).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“Stated Maturity” when used with respect to any Security or any installment of interest thereon, shall mean the date specified in such Security or pursuant to Section 3.01 with respect to such Security as the fixed date on which the principal (or any portion thereof) of or premium, if any, on such Security or such installment of interest is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“Subsidiary,” when used with respect to any Person, shall mean with respect to any Person, a corporation, partnership association, joint venture, trust, limited liability company or other business entity which is required to be consolidated with such Person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“Successor Company” shall have the meaning assigned to it in Section 3.06(h).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 Payables: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“Trade Payables” means accounts payable or any other Indebtedness or monetary obligations to trade creditors created or assumed by the Company or any Subsidiary of the Company in the ordinary course of business (including guarantees thereof or instruments evidencing such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 Indenture Act; TIA: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“Trust Indenture Act” or “TIA” shall mean the Trust Indenture Act of 1939, as amended, and the rules and regulations thereunder as in effect on the date of this Indenture, except as provided in Section 14.06 and except to the extent any amendment to the Trust Indenture Act expressly provides for application of the Trust Indenture Act as in effect on another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“Trustee” shall mean the Person named as the “Trustee” in the first paragraph of this Indenture until a successor Trustee shall have become such with respect to one or more series of Securities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“U.S. Dollars” shall mean such currency of the United States as at the time of payment shall be legal tender for the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Government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“U.S. Government Obligations” shall have the meaning assigned to it in Section 12.03.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“United States” shall mean the United States of America, its territories and possessions, any State of the United States and the District of Columbia.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FORMS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            </w:t>
      </w:r>
      <w:r>
        <w:rPr>
          <w:rFonts w:ascii="Times New Roman;Times;Serif" w:hAnsi="Times New Roman;Times;Serif"/>
          <w:b w:val="false"/>
          <w:i w:val="false"/>
          <w:caps w:val="false"/>
          <w:smallCaps w:val="false"/>
          <w:sz w:val="20"/>
          <w:u w:val="single"/>
        </w:rPr>
        <w:t>Terms of the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Securities of each series shall be substantially in the form set forth in a Board Resolution, a Company Order or in one or more indentures supplemental hereto, and shall have such appropriate insertions, omissions, substitutions and other variations as are required or permitted by this Indenture,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securities exchange on which any series of the Securities may be listed or of any automated quotation system on which any such series may be quoted, or to conform to usage, all as determined by any of the officers executing such Securities as conclusively evidenced by their execution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terms and provisions of the Securities shall constitute, and are hereby expressly made, a part of this Indenture, and, to the extent applicable, the Company and the Trustee, by their execution and delivery of this Indenture expressly agree to such terms and provisions and to be bound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w:t>
      </w:r>
      <w:r>
        <w:rPr>
          <w:rFonts w:ascii="Times New Roman;Times;Serif" w:hAnsi="Times New Roman;Times;Serif"/>
          <w:b w:val="false"/>
          <w:i w:val="false"/>
          <w:caps w:val="false"/>
          <w:smallCaps w:val="false"/>
          <w:sz w:val="20"/>
          <w:u w:val="single"/>
        </w:rPr>
        <w:t>Form of Trustee’s Certificate of Authentication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Only such of the Securities as shall bear thereon a certificate substantially in the form of the Trustee’s certificate of authentication hereinafter recited, executed by the Trustee by manual signature, shall be valid or become obligatory for any purpose or entitle the Holder thereof to any right or benefit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Security shall be dated the date of its authentication, except that any Global Security shall be dated as of the date specified as contemplated in Section 3.01.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form of the Trustee’s certificate of authentication to be borne by the Securities shall be substantially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6564" w:type="dxa"/>
        <w:jc w:val="left"/>
        <w:tblInd w:w="0" w:type="dxa"/>
        <w:tblLayout w:type="fixed"/>
        <w:tblCellMar>
          <w:top w:w="0" w:type="dxa"/>
          <w:left w:w="0" w:type="dxa"/>
          <w:bottom w:w="0" w:type="dxa"/>
          <w:right w:w="0" w:type="dxa"/>
        </w:tblCellMar>
      </w:tblPr>
      <w:tblGrid>
        <w:gridCol w:w="3650"/>
        <w:gridCol w:w="483"/>
        <w:gridCol w:w="2431"/>
      </w:tblGrid>
      <w:tr>
        <w:trPr/>
        <w:tc>
          <w:tcPr>
            <w:tcW w:w="3650" w:type="dxa"/>
            <w:tcBorders/>
            <w:vAlign w:val="center"/>
          </w:tcPr>
          <w:p>
            <w:pPr>
              <w:pStyle w:val="TableContents"/>
              <w:bidi w:val="0"/>
              <w:spacing w:before="0" w:after="283"/>
              <w:jc w:val="left"/>
              <w:rPr/>
            </w:pPr>
            <w:r>
              <w:rPr/>
              <w:t>Date of authentication: ___________  </w:t>
            </w:r>
          </w:p>
        </w:tc>
        <w:tc>
          <w:tcPr>
            <w:tcW w:w="2914" w:type="dxa"/>
            <w:gridSpan w:val="2"/>
            <w:tcBorders/>
            <w:vAlign w:val="center"/>
          </w:tcPr>
          <w:p>
            <w:pPr>
              <w:pStyle w:val="TableContents"/>
              <w:bidi w:val="0"/>
              <w:spacing w:before="0" w:after="283"/>
              <w:jc w:val="left"/>
              <w:rPr/>
            </w:pPr>
            <w:r>
              <w:rPr/>
              <w:t>_______________, as Trustee</w:t>
            </w:r>
          </w:p>
        </w:tc>
      </w:tr>
      <w:tr>
        <w:trPr/>
        <w:tc>
          <w:tcPr>
            <w:tcW w:w="3650"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left"/>
              <w:rPr/>
            </w:pPr>
            <w:r>
              <w:rPr/>
              <w:t> </w:t>
            </w:r>
          </w:p>
        </w:tc>
        <w:tc>
          <w:tcPr>
            <w:tcW w:w="2431"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left"/>
              <w:rPr/>
            </w:pPr>
            <w:r>
              <w:rPr/>
              <w:t xml:space="preserve">By: </w:t>
            </w:r>
          </w:p>
        </w:tc>
        <w:tc>
          <w:tcPr>
            <w:tcW w:w="243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left"/>
              <w:rPr/>
            </w:pPr>
            <w:r>
              <w:rPr/>
              <w:t> </w:t>
            </w:r>
          </w:p>
        </w:tc>
        <w:tc>
          <w:tcPr>
            <w:tcW w:w="2431" w:type="dxa"/>
            <w:tcBorders/>
            <w:vAlign w:val="center"/>
          </w:tcPr>
          <w:p>
            <w:pPr>
              <w:pStyle w:val="TableContents"/>
              <w:bidi w:val="0"/>
              <w:spacing w:before="0" w:after="283"/>
              <w:jc w:val="left"/>
              <w:rPr/>
            </w:pPr>
            <w:r>
              <w:rPr/>
              <w:t xml:space="preserve">Authorized Signatory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w:t>
      </w:r>
      <w:r>
        <w:rPr>
          <w:rFonts w:ascii="Times New Roman;Times;Serif" w:hAnsi="Times New Roman;Times;Serif"/>
          <w:b w:val="false"/>
          <w:i w:val="false"/>
          <w:caps w:val="false"/>
          <w:smallCaps w:val="false"/>
          <w:sz w:val="20"/>
          <w:u w:val="single"/>
        </w:rPr>
        <w:t>Form of Trustee’s Certificate of Authentication by an Authenticating Agent</w:t>
      </w:r>
      <w:r>
        <w:rPr>
          <w:rFonts w:ascii="Times New Roman;Times;Serif" w:hAnsi="Times New Roman;Times;Serif"/>
          <w:b w:val="false"/>
          <w:i w:val="false"/>
          <w:caps w:val="false"/>
          <w:smallCaps w:val="false"/>
          <w:sz w:val="20"/>
        </w:rPr>
        <w:t>. If at any time there shall be an Authenticating Agent appointed with respect to any series of Securities, then the Trustee’s Certificate of Authentication by such Authenticating Agent to be borne by Securities of each such series shall be substantially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6564" w:type="dxa"/>
        <w:jc w:val="left"/>
        <w:tblInd w:w="0" w:type="dxa"/>
        <w:tblLayout w:type="fixed"/>
        <w:tblCellMar>
          <w:top w:w="0" w:type="dxa"/>
          <w:left w:w="0" w:type="dxa"/>
          <w:bottom w:w="0" w:type="dxa"/>
          <w:right w:w="0" w:type="dxa"/>
        </w:tblCellMar>
      </w:tblPr>
      <w:tblGrid>
        <w:gridCol w:w="3650"/>
        <w:gridCol w:w="449"/>
        <w:gridCol w:w="2465"/>
      </w:tblGrid>
      <w:tr>
        <w:trPr/>
        <w:tc>
          <w:tcPr>
            <w:tcW w:w="3650" w:type="dxa"/>
            <w:tcBorders/>
            <w:vAlign w:val="center"/>
          </w:tcPr>
          <w:p>
            <w:pPr>
              <w:pStyle w:val="TableContents"/>
              <w:bidi w:val="0"/>
              <w:spacing w:before="0" w:after="283"/>
              <w:jc w:val="left"/>
              <w:rPr/>
            </w:pPr>
            <w:r>
              <w:rPr/>
              <w:t>Date of authentication: ___________  </w:t>
            </w:r>
          </w:p>
        </w:tc>
        <w:tc>
          <w:tcPr>
            <w:tcW w:w="2914" w:type="dxa"/>
            <w:gridSpan w:val="2"/>
            <w:tcBorders/>
            <w:vAlign w:val="center"/>
          </w:tcPr>
          <w:p>
            <w:pPr>
              <w:pStyle w:val="TableContents"/>
              <w:bidi w:val="0"/>
              <w:spacing w:before="0" w:after="283"/>
              <w:jc w:val="left"/>
              <w:rPr/>
            </w:pPr>
            <w:r>
              <w:rPr/>
              <w:t>_______________, as Trustee</w:t>
            </w:r>
          </w:p>
        </w:tc>
      </w:tr>
      <w:tr>
        <w:trPr/>
        <w:tc>
          <w:tcPr>
            <w:tcW w:w="3650"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left"/>
              <w:rPr/>
            </w:pPr>
            <w:r>
              <w:rPr/>
              <w:t xml:space="preserve">By: </w:t>
            </w:r>
          </w:p>
        </w:tc>
        <w:tc>
          <w:tcPr>
            <w:tcW w:w="246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pPr>
            <w:r>
              <w:rPr/>
              <w:t>as Authenticating Agent</w:t>
            </w:r>
          </w:p>
        </w:tc>
      </w:tr>
    </w:tbl>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425"/>
        <w:gridCol w:w="2120"/>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xml:space="preserve">By: </w:t>
            </w:r>
          </w:p>
        </w:tc>
        <w:tc>
          <w:tcPr>
            <w:tcW w:w="212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pPr>
            <w:r>
              <w:rPr/>
              <w:t> </w:t>
            </w:r>
            <w:r>
              <w:rPr/>
              <w:t>Authorized Signatory</w:t>
            </w:r>
          </w:p>
        </w:tc>
      </w:tr>
    </w:tbl>
    <w:p>
      <w:pPr>
        <w:pStyle w:val="TextBody"/>
        <w:bidi w:val="0"/>
        <w:spacing w:before="0" w:after="0"/>
        <w:ind w:left="5760" w:right="0" w:hanging="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THE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            </w:t>
      </w:r>
      <w:r>
        <w:rPr>
          <w:rFonts w:ascii="Times New Roman;Times;Serif" w:hAnsi="Times New Roman;Times;Serif"/>
          <w:b w:val="false"/>
          <w:i w:val="false"/>
          <w:caps w:val="false"/>
          <w:smallCaps w:val="false"/>
          <w:sz w:val="20"/>
          <w:u w:val="single"/>
        </w:rPr>
        <w:t>Amount Unlimited; Issuable in Series</w:t>
      </w:r>
      <w:r>
        <w:rPr>
          <w:rFonts w:ascii="Times New Roman;Times;Serif" w:hAnsi="Times New Roman;Times;Serif"/>
          <w:b w:val="false"/>
          <w:i w:val="false"/>
          <w:caps w:val="false"/>
          <w:smallCaps w:val="false"/>
          <w:sz w:val="20"/>
        </w:rPr>
        <w:t>. The aggregate principal amount of Securities that may be authenticated and delivered under this Indenture is unlimited. The Securities may be issued in one or more series. The title and terms on each series of Securities shall be as set forth in a Board Resolution, Company Order or in one or more indentures supplemental hereto, prior to the issuance of Securities of any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title of the Securities of the series (which shall distinguish the Securities of such series from the Securities of all other series, except to the extent that additional Securities of an existing series are being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limit upon the aggregate principal amount of the Securities of the series that may be authenticated and delivered under this Indenture (except for Securities authenticated and delivered upon transfer of, or in exchange for, or in lieu of, other Securities of such series pursuant to Section 3.04, 3.06, 3.07, 4.06, or 14.05);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dates on which or periods during which the Securities of the series may be issued, and the dates on, or the range of dates within, which the principal of and premium, if any, on the Securities of such series are or may be payable or the method by which such date or dates shall be determined or extended;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rate or rates at which the Securities of the series shall bear interest, if any, or the method by which such rate or rates shall be determined, whether such interest shall be payable in cash or additional Securities of the same series or shall accrue and increase the aggregate principal amount outstanding of such series (including if such Securities were originally issued at a discount), the date or dates from which such interest shall accrue, or the method by which such date or dates shall be determined, the Interest Payment Dates on which any such interest shall be payable, and the Record Dates for the determination of Holders to whom interest is payable on such Interest Payment Dates or the method by which such date or dates shall be determined, the right, if any, to extend or defer interest payments and the duration of such extension or deferral;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other than U.S. Dollars, the Foreign Currency in which Securities of the series shall be denominated or in which payment of the principal of, premium, if any, or interest on the Securities of the series shall be payable and any other terms concerning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the amount of payment of principal of, premium, if any, or interest on the Securities of the series may be determined with reference to an index, formula or other method including, but not limited to, an index based on a Currency or Currencies other than that in which the Securities are stated to be payable, the manner in which such amounts shall be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the principal of, premium, if any, or interest on Securities of the series are to be payable, at the election of the Company or a Holder thereof, in a Currency other than that in which the Securities are denominated or stated to be payable without such election, the period or periods within which, and the terms and conditions upon which, such election may be made and the time and the manner of determining the exchange rate between the Currency in which the Securities are denominated or payable without such election and the Currency in which the Securities are to be paid if such election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place or places, if any, in addition to or instead of the Corporate Trust Office of the Trustee where the principal of, premium, if any, and interest on Securities of the series shall be payable, and where Securities of any series may be presented for registration of transfer, exchange or conversion, and the place or places where notices and demands to or upon the Company in respect of the Securities of such series may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price or prices at which, the period or periods within which or the date or dates on which, and the terms and conditions upon which Securities of the series may be redeemed, in whole or in part, at the option of the Company, if the Company is to have that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obligation or right, if any, of the Company to redeem, purchase or repay Securities of the series pursuant to any sinking fund, amortization or analogous provisions or at the option of a Holder thereof and the price or prices at which, the period or periods within which or the date or dates on which, the Currency or Currencies in which and the terms and conditions upon which Securities of the series shall be redeemed, purchased or repaid, in whole or in part, pursuant to such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other than minimum denominations of $2,000 and any integral multiple of $1,000 in excess thereof, the denominations in which Securities of the series shall be issuable;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if other than the principal amount thereof, the portion of the principal amount of the Securities of the series which shall be payable upon declaration of acceleration of the Maturity thereof pursuant to Section 7.02;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guarantors, if any, of the Securities of the series, and the extent of the guarantees (including provisions relating to seniority, subordination, and the release of the guarantors), if any, and any additions or changes to permit or facilitate guarantees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whether the Securities of the series are to be issued as Original Issue Discount Securities and the amount of discount with which such Securities may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if the provisions of Article XII hereof shall not be applicable with respect to the Securities of such series; or any addition to or change in the provisions of Article XII and, if the Securities of any series are payable in a Currency other than U.S. Dollars, the Currency or the nature of the government obligations to be deposited with the Trustee pursuant to Section 12.08;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whether the Securities of the series are to be issued in whole or in part in the form of one or more Global Securities and, in such case, the Depositary for such Global Security or Global Securities, and the terms and conditions, if any, upon which interests in such Global Security or Global Securities may be exchanged in whole or in part for the individual securities represented thereby in definitive form registered in the name or names of Persons other than such Depositary or a nominee or nominees thereof (“Individual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the date as of which any Global Security of the series shall be dated if other than the original issuance of the first Security of the series to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form or forms of the Securities of the series including such legends as may be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if the Securities of the series are to be convertible into or exchangeable for any securities or property of any Person (including the Company), the terms and conditions upon which such Securities will be so convertible or exchangeable, and any additions or changes, if any, to permit or facilitate such conversion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whether the Securities of such series are subject to subordination and the terms of such subordination (for avoidance of doubt, Article XV shall not apply to the Securities of any series unless the terms of such series expressly state it applies);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whether the Securities of such series are to be secured and the terms of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restriction or condition on the transferability of the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any addition or change in the provisions related to compensation and reimbursement of the Trustee which applies to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any addition or change in the provisions related to supplemental indentures set forth in Sections 14.01, 14.02 and 14.04 which applies to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provisions, if any, granting special rights to Holders upon the occurrence of specified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any addition to or change in the Events of Default which applies to any Securities of the series and any change in the right of the Trustee or the requisite Holders of such Securities to declare the principal amount thereof due and payable pursuant to Section 7.02 and any addition or change in the provisions set forth in Article VII which applies to Securities of the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any addition to or change in the covenants set forth in Article VI which applies to Securities of the series;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any other terms of the Securities of such series (which terms shall not be inconsistent with the provisions of the TIA, but may modify, amend, supplement or delete any of the terms of this Indenture with respect to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shall be substantially identical, except as to denomination and except as may otherwise be provided herein or set forth in a Board Resolution, a Company Order or in one or more indentures supplemental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with respect to the Securities of any series pursuant to this Section 3.01, the Company may, at its option, at any time and from time to time, issue additional Securities of any series of Securities previously issued under this Indenture which together shall constitute a single series of Securities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            </w:t>
      </w:r>
      <w:r>
        <w:rPr>
          <w:rFonts w:ascii="Times New Roman;Times;Serif" w:hAnsi="Times New Roman;Times;Serif"/>
          <w:b w:val="false"/>
          <w:i w:val="false"/>
          <w:caps w:val="false"/>
          <w:smallCaps w:val="false"/>
          <w:sz w:val="20"/>
          <w:u w:val="single"/>
        </w:rPr>
        <w:t>Denominations</w:t>
      </w:r>
      <w:r>
        <w:rPr>
          <w:rFonts w:ascii="Times New Roman;Times;Serif" w:hAnsi="Times New Roman;Times;Serif"/>
          <w:b w:val="false"/>
          <w:i w:val="false"/>
          <w:caps w:val="false"/>
          <w:smallCaps w:val="false"/>
          <w:sz w:val="20"/>
        </w:rPr>
        <w:t>. In the absence of any specification pursuant to Section 3.01 with respect to Securities of any series, the Securities of such series shall be issuable only as Securities in minimum denominations of $2,000 and any integral multiple of $1,000 in excess thereof, and shall be payable only in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            </w:t>
      </w:r>
      <w:r>
        <w:rPr>
          <w:rFonts w:ascii="Times New Roman;Times;Serif" w:hAnsi="Times New Roman;Times;Serif"/>
          <w:b w:val="false"/>
          <w:i w:val="false"/>
          <w:caps w:val="false"/>
          <w:smallCaps w:val="false"/>
          <w:sz w:val="20"/>
          <w:u w:val="single"/>
        </w:rPr>
        <w:t>Execution, Authentication, Delivery and Dating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Securities shall be executed in the name and on behalf of the Company by the manual, facsimile or other electronic signature of any Officer. If the Person whose signature is on a Security no longer holds that office at the time the Security is authenticated and delivered, the Security shall nevertheless be 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if required pursuant to Section 3.01, a supplemental indenture or Company Order setting forth the terms of the Securities of a series. The Trustee shall thereupon authenticate and deliver such Securities without any further action by the Company. The Company Order shall specify the amount of Securities to be authenticated and the date on which the original issue of Securities is to be authenticated.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authenticating the first Securities of any series and accepting the additional responsibilities under this Indenture in relation to such Securities the Trustee shall receive, and (subject to Section 11.02) shall be fully protected in relying upon an Officer’s Certificate and an Opinion of Counsel, each prepared in accordance with Section 16.01 stating that the conditions precedent, if any, provided for in the Indenture have been complied with and in the case of the Opinion of Counsel, 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reorganization and other laws of general applicability relating to or affecting the enforcement of creditors’ rights and to general equity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shall have the right to decline to authenticate and deliver the Securities under this Section 3.03 if the issue of the Securities pursuant to this Indenture will affect the Trustee’s own rights, duties or immunities under the Securities and this Indenture or otherwise in a manner which is not reasonably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Security shall be dated the date of its authentication, except as otherwise provided pursuant to Section 3.01 with respect to the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the provisions of Section 3.01 and of this Section 3.03, if all of the Securities of any series are not to be originally issued at the same time, then the documents required to be delivered pursuant to this Section 3.03 must be delivered only once prior to the authentication and delivery of the first Security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the Company shall establish pursuant to Section 3.01 that the Securities of a series are to be issued in whole or in part in the form of one or more Global Securities, then the Company shall execute and the Trustee shall authenticate and deliver one or more Global Securities that (i) shall represent an aggregate amount equal to the aggregate principal amount of the Outstanding Securities of such series to be represented by such Global Securities, (ii) shall be registered, in the name of the Depositary for such Global Security or Global Securities or the nominee of such Depositary, (iii) shall be delivered by the Trustee to such Depositary or pursuant to such Depositary’s instruction and (iv) shall bear a legend substantially to the following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SECURITY IS A GLOBAL SECURITY WITHIN THE MEANING OF THE INDENTURE HEREINAFTER REFERRED TO AND IS REGISTERED IN THE NAME OF THE DEPOSITARY OR A NOMINEE OF THE DEPOSITARY, WHICH SHALL BE TREATED BY THE COMPANY, THE TRUSTEE AND ANY AGENT THEREOF AS OWNER AND HOLDER OF THIS SECURITY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DEPOSITARY TO THE COMPANY OR ITS AGENT FOR REGISTRATION OF TRANSFER, EXCHANGE OR PAYMENT, AND ANY CERTIFICATE ISSUED IS REGISTERED IN THE NAME OF THE NOMINEE OF THE DEPOSITARY OR IN SUCH OTHER NAME AS IS REQUESTED BY AN AUTHORIZED REPRESENTATIVE OF THE DEPOSITARY (AND ANY PAYMENT HEREON IS MADE TO THE NOMINEE OF THE DEPOSITARY OR TO SUCH OTHER ENTITY AS IS REQUESTED BY AN AUTHORIZED REPRESENTATIVE OF THE DEPOSITARY), ANY TRANSFER, PLEDGE OR OTHER USE HEREOF FOR VALUE OR OTHERWISE BY OR TO ANY PERSON IS WRONGFUL SINCE THE REGISTERED OWNER HEREOF, THE NOMINEE OF THE DEPOSITARY,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BY THE DEPOSITARY TO A NOMINEE OF THE DEPOSITARY, OR BY A NOMINEE OF THE DEPOSITARY TO THE DEPOSITARY OR ANOTHER NOMINEE OF THE DEPOSITARY, OR BY THE DEPOSITARY OR ANY SUCH NOMINEE TO A SUCCESSOR DEPOSITARY OR A NOMINEE OF SUCH SUCCESSOR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each Global Security may from time to time be increased or decreased by adjustments made on the records of the Security Custodian, as provided in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Depositary designated pursuant to Section 3.01 for a Global Security in registered form must, at the time of its designation and at all times while it serves as such Depositary, be a clearing agency registered under the Exchange Act and any other applicable statute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Members of, or participants in, the Depositary (“Members”) shall have no rights under this Indenture with respect to any Global Security held on their behalf by the Depositary or by the Security Custodian under such Global Security, and the Depositary shall be treated by the Company, the Trustee, the Paying Agent and the Registrar and any of their agents as the absolute owner of such Global Security for all purposes whatsoever. Notwithstanding the foregoing, nothing herein shall prevent the Company, the Trustee, the Paying Agent or the Registrar or any of their agents from giving effect to any written certification, proxy or other authorization furnished by the Depositary or impair, as between the Depositary and its Members, the operation of customary practices of the Depositary governing the exercise of the rights of an owner of a beneficial interest in any Global Security. The Holder of a Global Security may grant proxies and otherwise authorize any Person, including Members and Persons that may hold interests through Members, to take any action that a Holder is entitled to take under this Indenture or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 Security shall be entitled to any benefit under this Indenture or be valid or obligatory for any purpose unless there appears on such Security a certificate of authentication substantially in one of the forms provided for herein duly executed by the Trustee or by an Authenticating Agent by manual signature of an authorized signatory of the Trustee or Authenticating Agent, and such certificate upon any Security shall be conclusive evidence, and the only evidence, that such Security has been duly authenticated and delivered hereunder and is entitled to the benefits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            </w:t>
      </w:r>
      <w:r>
        <w:rPr>
          <w:rFonts w:ascii="Times New Roman;Times;Serif" w:hAnsi="Times New Roman;Times;Serif"/>
          <w:b w:val="false"/>
          <w:i w:val="false"/>
          <w:caps w:val="false"/>
          <w:smallCaps w:val="false"/>
          <w:sz w:val="20"/>
          <w:u w:val="single"/>
        </w:rPr>
        <w:t>Temporary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Pending the preparation of definitive Securities of any series, the Company may execute, and upon Company Order the Trustee shall authenticate and deliver, temporary Securities that are printed, lithographed, typewritten, mimeographed or otherwise reproduced, in any authorized denominations, substantially of the tenor of the definitive Securities in lieu of which they are issued, in registered form and with such appropriate insertions, omissions, substitutions and other variations as the officers executing such Securities may determine, as conclusively evidenced by their execution of such Securities. Any such temporary Security may be in the form of one or more Global Securities, representing all or a portion of the Outstanding Securities of such series. Every such temporary Security shall be executed by the Company and shall be authenticated and delivered by the Trustee upon the same conditions and in substantially the same manner, and with the same effect, as the definitive Security or Securities in lieu of which it is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temporary Securities of any series are issued, the Company will cause definitive Securities of such series to be prepared without unreasonable delay. After the preparation of definitive Securities of such series, the temporary Securities of such series shall be exchangeable for definitive Securities of such series upon surrender of such temporary Securities at the office or agency of the Company in a Place of Payment for such series, without charge to the Holder. Upon surrender for cancellation of any one or more temporary Securities of any series, the Company shall execute and the Trustee shall authenticate and deliver in exchange therefor a like principal amount of definitive Securities of the same series of authorized denominations and of like tenor. Until so exchanged, the temporary Securities of any series shall in all respects be entitled to the same benefits under this Indenture as definitive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any exchange of a portion of a temporary Global Security for a definitive Global Security or for the Individual Securities represented thereby pursuant to this Section 3.04 or Section 3.06, the temporary Global Security shall be endorsed by the Trustee to reflect the reduction of the principal amount evidenced thereby, whereupon the principal amount of such temporary Global Security shall be reduced for all purposes by the amount so exchanged and endorsed.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            </w:t>
      </w:r>
      <w:r>
        <w:rPr>
          <w:rFonts w:ascii="Times New Roman;Times;Serif" w:hAnsi="Times New Roman;Times;Serif"/>
          <w:b w:val="false"/>
          <w:i w:val="false"/>
          <w:caps w:val="false"/>
          <w:smallCaps w:val="false"/>
          <w:sz w:val="20"/>
          <w:u w:val="single"/>
        </w:rPr>
        <w:t>Registrar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will keep, at an office or agency to be maintained by it in a Place of Payment where Securities may be presented for registration or presented and surrendered for registration of transfer or of exchange, and where Securities of any series that are convertible or exchangeable may be surrendered for conversion or exchange, as applicable (the “Registrar”), a security register for the registration and the registration of transfer or of exchange of the Securities (the registers maintained in such office and in any other office or agency of the Company in a Place of Payment being herein sometimes collectively referred to as the “Register”), as in this Indenture provided, which Register shall at all reasonable times be open for inspection by the Trustee. Such Register shall be in written form or in any other form capable of being converted into written form within a reasonable time. The Company may have one or more co-Registrars; the term “Registrar” includes any co-registrar.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enter into an appropriate agency agreement with any Registrar or co-Registrar not a party to this Indenture. The agreement shall implement the provisions of this Indenture that relate to such agent. The Company shall notify the Trustee of the name and address of each such agent. If the Company fails to maintain a Registrar for any series, the Trustee shall act as such and shall be entitled to appropriate compensation therefor pursuant to Section 11.01. The Company or any Affiliate thereof may act as Registrar, co-Registrar or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hereby appoints the Trustee at its Corporate Trust Office as Registrar in connection with the Securities and this Indenture, until such time as another Person is appointed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            </w:t>
      </w:r>
      <w:r>
        <w:rPr>
          <w:rFonts w:ascii="Times New Roman;Times;Serif" w:hAnsi="Times New Roman;Times;Serif"/>
          <w:b w:val="false"/>
          <w:i w:val="false"/>
          <w:caps w:val="false"/>
          <w:smallCaps w:val="false"/>
          <w:sz w:val="20"/>
          <w:u w:val="single"/>
        </w:rPr>
        <w:t>Transfer and Exchange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Upon surrender for registration of transfer of any Security of any series at the Registrar the Company shall execute, and the Trustee or any Authenticating Agent shall authenticate and deliver, in the name of the designated transferee, one or more new Securities of the same series for like aggregate principal amount of any authorized denomination or denominations. The transfer of any Security shall not be valid as against the Company or the Trustee unless registered at the Registrar at the request of the Holder, or at the request of his, her or its attorney duly authorized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Notwithstanding any other provision of this Section, unless and until it is exchanged in whole or in part for the Individual Securities represented thereby,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 the option of the Holder, Securities of any series (other than a Global Security, except as set forth below) may be exchanged for other Securities of the same series for like aggregate principal amount of any authorized denomination or denominations, upon surrender of the Securities to be exchanged at the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Whenever any Securities are so surrendered for exchange, the Company shall execute, and the Trustee or Authenticating Agent shall authenticate and deliver, the Securities that the Holder making the exchange is entitled to receive.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Exchange of Global Securities for Individual Securities. Except as provided below, owners of beneficial interests in Global Securities will not be entitled to receive Individual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Individual Securities shall be issued to all owners of beneficial interests in a Global Security in exchange for such interests if: (A) at any time the Depositary for the Securities of a series notifies the Company that it is unwilling or unable to continue as Depositary for the Securities of such series or if at any time the Depositary for the Securities of such series shall no longer be eligible under Section 3.03(h) and, in each case, a successor Depositary is not appointed by the Company within 90 days of such notice, or (B) the Company executes and delivers to the Trustee and the Registrar a Company Order stating that such Global Security shall be so exchangeable.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exchange of an entire Global Security for Individual Securities pursuant to this subsection (c), such Global Security shall be deemed to be surrendered to the Trustee for cancellation, and the Company shall execute, and the Trustee, upon receipt of a Company Order for the authentication and delivery of Individual Securities of such series, will authenticate and deliver to each beneficial owner identified by the Depositary in exchange for its beneficial interest in such Global Security, an equal aggregate principal amount of Individual Securities of authorized denominations.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owner of a beneficial interest in a Global Security will be entitled to receive an Individual Security in exchange for such interest if an Event of Default has occurred and is continuing. Upon receipt by the Security Custodian and Registrar of instructions from the Holder of a Global Security directing the Security Custodian and Registrar to (x) issue one or more Individual Securities in the amounts specified to the owner of a beneficial interest in such Global Security and (y) debit or cause to be debited an equivalent amount of beneficial interest in such Global Security, subject to the rules and regulations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5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Security Custodian and Registrar shall notify the Company and the Trustee of such instructions, identifying the owner and amount of such beneficial interest in such Global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5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promptly execute and the Trustee, upon receipt of a Company Order for the authentication and delivery of Individual Securities of such series, shall authenticate and deliver to such beneficial owner Individual Securities in an equivalent amount to such beneficial interest in such Global Security;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5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Security Custodian and Registrar shall decrease such Global Security by such amount in accordance with the foregoing. In the event that the Individual Securities are not issued to each such beneficial owner promptly after the Registrar has received a request from the Holder of a Global Security to issue such Individual Securities, the Company expressly acknowledges, with respect to the right of any Holder to pursue a remedy pursuant to Section 7.07 hereof, the right of any beneficial Holder of Securities to pursue such remedy with respect to the portion of the Global Security that represents such beneficial Holder’s Securities as if such Individual Securities had been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specified by the Company pursuant to Section 3.01 with respect to a series of Securities, the Depositary for such series of Securities may surrender a Global Security for such series of Securities in exchange in whole or in part for Individual Securities of such series on such terms as are acceptable to the Company and such Depositary. Thereupon, the Company shall execute, and the Trustee shall authenticate and deliver, without service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5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each Person specified by such Depositary a new Individual Security or new Individual Securities of the same series, of any authorized denomination as requested by such Person in aggregate principal amount equal to and in exchange for such Person’s beneficial interest in the Global Security;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5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such Depositary a new Global Security in a denomination equal to the difference, if any, between the principal amount of the surrendered Global Security and the aggregate principal amount of Individual Securities delivered to Holders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any exchange provided for in clauses (i) through (iii), the Company will execute and the Trustee will authenticate and deliver Individual Securities in registered form in authorized denominations.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Upon the exchange in full of a Global Security for Individual Securities, such Global Security shall be canceled by the Trustee. Individual Securities issued in exchange for a Global Security pursuant to this Section shall be registered in such names and in such authorized denominations as the Depositary for such Global Security, pursuant to instructions from its direct or indirect participants or otherwise, shall instruct the Trustee. The Trustee shall deliver such Securities to the Persons in whose names such Securities are so registered.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Securities issued upon any registration of transfer or exchange of Securities shall be valid obligations of the Company evidencing the same debt, and entitled to the same benefits under this Indenture, as the Securities surrendered for such registration of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Every Security presented or surrendered for registration of transfer, or for exchange or payment shall (if so required by the Company, the Trustee or the Registrar) be duly endorsed, or be accompanied by a written instrument or instruments of transfer in form satisfactory to the Company, the Trustee and the Registrar, duly executed by the Holder thereof or by his, her or its attorney duly authorized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service charge will be made for any registration of transfer or exchange of Securities. The Company or the Trustee may require payment of a sum sufficient to cover any tax, assessment or other governmental charge that may be imposed in connection with any registration of transfer or exchange of Securities, other than those expressly provided in this Indenture to be made at the Company’s own expense or without expense or charge to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shall not be required to (i) register, transfer or exchange Securities of any series during a period beginning at the opening of business 15 days before the day of the transmission of a notice of redemption of Securities of such series selected for redemption under Section 4.02 and ending at the close of business on the day of such transmission, or (ii) register, transfer or exchange any Security so selected for redemption in whole or in part, except the unredeemed portion of any Security being redeemed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 case a successor Company (“Successor Company”) has executed an indenture supplemental hereto with the Trustee pursuant to Section 6.04, any of the Securities previously authenticated or delivered may, from time to time, at the request of the Successor Company, be exchanged for other Securities executed in the name of the Successor Company with such changes in phraseology and form as may be appropriate, but otherwise identical to the Securities surrendered for such exchange and of like principal amount; and the Trustee, upon Company Order of the Successor Company, shall authenticate and deliver Securities as specified in such order for the purpose of such exchange. If Securities shall at any time be authenticated and delivered in any new name of a Successor Company pursuant to this Section 3.06 in exchange or substitution for or upon registration of transfer of any Securities, such Successor Company, at the option of the Holders but without expense to them, shall provide for the exchange of all Securities at the time Outstanding for Securities authenticated and delivered in such new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have no obligation or duty to monitor, determine or inquire as to compliance with any restrictions on transfer imposed under this Indenture or under applicable law with respect to any transfer of any interest in any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Neither the Trustee nor any agent of the Trustee shall have any responsibility for any actions taken or not taken by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Prior to the due presentation for registration of transfer or exchange of any Security, the Company, the Trustee, the Paying Agent, the Registrar or any of their agents may deem and treat the Person in whose name a Security is registered as the absolute owner of such Security (whether or not such Security shall be overdue and notwithstanding any notation of ownership or other writing thereon) for all purposes whatsoever, and none of the Company, the Trustee, the Paying Agent, the Registrar or any of their agents shall be affected by any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Trustee shall have no responsibility or obligation to any beneficial owner of a Global Security, a member of, or a participant in, the Depositary or other Person with respect to the accuracy of the records of the Depositary or its nominee or of any participant or member thereof, with respect to any ownership interest in the Securities or with respect to the delivery to any participant, member, beneficial owner or other Person (other than the Depositary) of any notice (including any notice of redemption or purchase) or the payment of any amount or delivery of any Securities (or other security or property) under or with respect to such Securities. All notices and communications to be given to the Holders and all payments to be made to Holders in respect of the Securities shall be given or made only to or upon the order of the registered Holders (which shall be the Depositary or its nominee in the case of a Global Security). The rights of beneficial owners in any Global Security shall be exercised only through the Depositary subject to the applicable rules and procedures of the Depositary. The Trustee may rely and shall be fully protected in relying upon information furnished by the Depositary with respect to its members, participants and any beneficial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3.07            </w:t>
      </w:r>
      <w:r>
        <w:rPr>
          <w:rFonts w:ascii="Times New Roman;Times;Serif" w:hAnsi="Times New Roman;Times;Serif"/>
          <w:b w:val="false"/>
          <w:i w:val="false"/>
          <w:caps w:val="false"/>
          <w:smallCaps w:val="false"/>
          <w:sz w:val="20"/>
          <w:u w:val="single"/>
        </w:rPr>
        <w:t>Mutilated, Destroyed, Lost and Stolen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(i) any mutilated Security is surrendered to the Trustee at its Corporate Trust Office or (ii) the Company and the Trustee receive evidence to their satisfaction of the destruction, loss or theft of any Security, and there is delivered to the Company and the Trustee security or indemnity satisfactory to them to save each of them and any Paying Agent harmless, and neither the Company nor the Trustee receives notice that such Security has been acquired by a protected purchaser, then the Company shall execute and upon Company Order the Trustee shall authenticate and deliver, in exchange for or in lieu of any such mutilated, destroyed, lost or stolen Security, a new Security of the same series and of like tenor, form, terms and principal amount, bearing a number not contemporaneously outstanding, such that neither gain nor loss in interest shall result from such exchange or substitution.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any such mutilated, destroyed, lost or stolen Security has become or is about to become due and payable, the Company in its discretion may, instead of issuing a new Security, pay the amount due on such Security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the issuance of any new Security under this Section, the Company may require the payment of a sum sufficient to cover any tax or other governmental charge that may be imposed in respect thereto and any other expenses (including the fees and expenses of the Trustee) connected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Every new Security of any series issued pursuant to this Section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provisions of this Section are exclusive and shall preclude (to the extent lawful) all other rights and remedies with respect to the replacement or payment of mutilated, destroyed, lost or stolen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3.08            </w:t>
      </w:r>
      <w:r>
        <w:rPr>
          <w:rFonts w:ascii="Times New Roman;Times;Serif" w:hAnsi="Times New Roman;Times;Serif"/>
          <w:b w:val="false"/>
          <w:i w:val="false"/>
          <w:caps w:val="false"/>
          <w:smallCaps w:val="false"/>
          <w:sz w:val="20"/>
          <w:u w:val="single"/>
        </w:rPr>
        <w:t>Payment of Interest; Interest Rights Preserved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Interest on any Security that is payable and is punctually paid or duly provided for on any Interest Payment Date shall be paid to the Person in whose name such Security (or one or more Predecessor Securities) is registered at the close of business on the Record Date for such interest notwithstanding the cancellation of such Security upon any transfer or exchange subsequent to the Record Date. Payment of interest on Securities shall be made at the Corporate Trust Office (except as otherwise specified pursuant to Section 3.01) or, at the option of the Company, by check mailed to the address of the Person entitled thereto as such address shall appear in the Register or, in accordance with arrangements satisfactory to the Trustee, by wire transfer to an account designated by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interest on any Security that is payable but is not punctually paid or duly provided for on any Interest Payment Date (herein called “Defaulted Interest”) shall forthwith cease to be payable to the Holder on the relevant Record Date by virtue of his, her or its having been such a Holder, and such Defaulted Interest may be paid by the Company, at its election in each case, as provided in clause (i) or (ii)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may elect to make payment of any Defaulted Interest to the Persons in whose names such Securities (or their respective Predecessor Securities) are registered at the close of business on a special record date for the payment of such Defaulted Interest (a “Special Record Date”),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calendar days and not less than 10 calendar days prior to the date of the proposed payment and not less than 10 calendar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the Holders of such Securities at their addresses as they appear in the Register, not less than 10 calendar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at the close of business on such Special Record Date and shall no longer be payable pursuant to the following clause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may make payment of any Defaulted Interest on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provisions set forth herein relating to Record Dates, each Security delivered pursuant to any provision of this Indenture in exchange or substitution for, or upon registration of transfer of, any other Security shall carry all the rights to interest accrued and unpaid, and to accrue, which were carried by such other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3.09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Unless otherwise specified pursuant to Section 3.01 for Securities of any series, all Securities surrendered for payment, redemption, registration of transfer or exchange or credit against any sinking fund or otherwise shall, if surrendered to any Person other than the Trustee, be delivered to the Trustee for cancellation and shall be promptly canceled by it and, if surrendered to the Trustee, shall be promptly canceled by it. The Company may at any time deliver to the Trustee for cancellation any Securities previously authenticated and delivered hereunder that the Company may have acquired in any manner whatsoever, and all Securities so delivered shall be promptly canceled by the Trustee. No Securities shall be authenticated in lieu of or in exchange for any Securities canceled as provided in this Section, except as expressly permitted by this Indenture. The Trustee shall dispose of all canceled Securities held by it in accordance with its then customary procedures and deliver a certificate of such disposal to the Company upon its request therefor. The acquisition of any Securities by the Company shall not operate as a redemption or satisfaction of the Indebtedness represented thereby unless and until such Securities are surrendered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            </w:t>
      </w:r>
      <w:r>
        <w:rPr>
          <w:rFonts w:ascii="Times New Roman;Times;Serif" w:hAnsi="Times New Roman;Times;Serif"/>
          <w:b w:val="false"/>
          <w:i w:val="false"/>
          <w:caps w:val="false"/>
          <w:smallCaps w:val="false"/>
          <w:sz w:val="20"/>
          <w:u w:val="single"/>
        </w:rPr>
        <w:t>Computation of Interest</w:t>
      </w:r>
      <w:r>
        <w:rPr>
          <w:rFonts w:ascii="Times New Roman;Times;Serif" w:hAnsi="Times New Roman;Times;Serif"/>
          <w:b w:val="false"/>
          <w:i w:val="false"/>
          <w:caps w:val="false"/>
          <w:smallCaps w:val="false"/>
          <w:sz w:val="20"/>
        </w:rPr>
        <w:t>. Except as otherwise specified pursuant to Section 3.01 for Securities of any series, interest on the Securities of each series shall be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3.11            </w:t>
      </w:r>
      <w:r>
        <w:rPr>
          <w:rFonts w:ascii="Times New Roman;Times;Serif" w:hAnsi="Times New Roman;Times;Serif"/>
          <w:b w:val="false"/>
          <w:i w:val="false"/>
          <w:caps w:val="false"/>
          <w:smallCaps w:val="false"/>
          <w:sz w:val="20"/>
          <w:u w:val="single"/>
        </w:rPr>
        <w:t>Currency of Payments in Respect of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specified pursuant to Section 3.01 for Securities of any series, payment of the principal of and premium, if any, and interest on Securities of such series will be made in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of any provision of the Indenture where the Holders of Outstanding Securities may perform an action that requires that a specified percentage of the Outstanding Securities of all series perform such action and for purposes of any decision or determination by the Trustee of amounts due and unpaid for the principal of and premium, if any, and interest on the Securities of all series in respect of which moneys are to be disbursed ratably, the principal of and premium, if any, and interest on the Outstanding Securities denominated in a Foreign Currency will be the amount in U.S. Dollars based upon exchange rates, determined as specified pursuant to Section 3.01 for Securities of such series, as of the date for determining whether the Holders entitled to perform such action have performed it or as of the date of such decision or determination by the Trustee,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decision or determination to be made regarding exchange rates shall be made by an agent appointed by the Company; provided that such agent shall accept such appointment in writing and the terms of such appointment shall, in the opinion of the Company at the time of such appointment, require such agent to make such determination by a method consistent with the method provided pursuant to Section 3.01 for the making of such decision or determination. All decisions and determinations of such agent regarding exchange rates shall, in the absence of manifest error, be conclusive for all purposes and irrevocably binding upon the Company, the Trustee and all Holders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3.12            </w:t>
      </w:r>
      <w:r>
        <w:rPr>
          <w:rFonts w:ascii="Times New Roman;Times;Serif" w:hAnsi="Times New Roman;Times;Serif"/>
          <w:b w:val="false"/>
          <w:i w:val="false"/>
          <w:caps w:val="false"/>
          <w:smallCaps w:val="false"/>
          <w:sz w:val="20"/>
          <w:u w:val="single"/>
        </w:rPr>
        <w:t>Judgments</w:t>
      </w:r>
      <w:r>
        <w:rPr>
          <w:rFonts w:ascii="Times New Roman;Times;Serif" w:hAnsi="Times New Roman;Times;Serif"/>
          <w:b w:val="false"/>
          <w:i w:val="false"/>
          <w:caps w:val="false"/>
          <w:smallCaps w:val="false"/>
          <w:sz w:val="20"/>
        </w:rPr>
        <w:t>. The Company may provide pursuant to Section 3.01 for Securities of any series that (a) the obligation, if any, of the Company to pay the principal of, premium, if any, and interest on the Securities of any series in a Foreign Currency or U.S. Dollars (the “Designated Currency”) as may be specified pursuant to Section 3.01 is of the essence and agrees that, to the fullest extent possible under applicable law, judgments in respect of such Securities shall be given in the Designated Currency; (b) the obligation of the Company to make payments in the Designated Currency of the principal of and premium, if any, and interest on such Securities shall, notwithstanding any payment in any other Currency (whether pursuant to a judgment or otherwise), be discharged only to the extent of the amount in the Designated Currency that the Holder receiving such payment may, in accordance with normal banking procedures, purchase with the sum paid in such other Currency (after any premium and cost of exchange) on the business day in the country of issue of the Designated Currency or in the international banking community (in the case of a composite currency) immediately following the day on which such Holder receives such payment; (c) if the amount in the Designated Currency that may be so purchased for any reason falls short of the amount originally due, the Company shall pay such additional amounts as may be necessary to compensate for such shortfall; and (d) any obligation of the Company not discharged by such payment shall be due as a separate and independent obligation and, until discharged as provided herein, shall continue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3.13            </w:t>
      </w:r>
      <w:r>
        <w:rPr>
          <w:rFonts w:ascii="Times New Roman;Times;Serif" w:hAnsi="Times New Roman;Times;Serif"/>
          <w:b w:val="false"/>
          <w:i w:val="false"/>
          <w:caps w:val="false"/>
          <w:smallCaps w:val="false"/>
          <w:sz w:val="20"/>
          <w:u w:val="single"/>
        </w:rPr>
        <w:t>CUSIP Numbers</w:t>
      </w:r>
      <w:r>
        <w:rPr>
          <w:rFonts w:ascii="Times New Roman;Times;Serif" w:hAnsi="Times New Roman;Times;Serif"/>
          <w:b w:val="false"/>
          <w:i w:val="false"/>
          <w:caps w:val="false"/>
          <w:smallCaps w:val="false"/>
          <w:sz w:val="20"/>
        </w:rPr>
        <w:t>. The Company in issuing any Securities may use CUSIP, ISIN or other similar numbers, if then generally in use, and thereafter with respect to such series, the Trustee may use such numbers in any notice of redemption or exchange with respect to such series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in writing of any change in the CUSIP, ISIN or other similar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REDEMPTION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            </w:t>
      </w:r>
      <w:r>
        <w:rPr>
          <w:rFonts w:ascii="Times New Roman;Times;Serif" w:hAnsi="Times New Roman;Times;Serif"/>
          <w:b w:val="false"/>
          <w:i w:val="false"/>
          <w:caps w:val="false"/>
          <w:smallCaps w:val="false"/>
          <w:sz w:val="20"/>
          <w:u w:val="single"/>
        </w:rPr>
        <w:t>Applicability of Right of Redemption</w:t>
      </w:r>
      <w:r>
        <w:rPr>
          <w:rFonts w:ascii="Times New Roman;Times;Serif" w:hAnsi="Times New Roman;Times;Serif"/>
          <w:b w:val="false"/>
          <w:i w:val="false"/>
          <w:caps w:val="false"/>
          <w:smallCaps w:val="false"/>
          <w:sz w:val="20"/>
        </w:rPr>
        <w:t>. Redemption of Securities (other than pursuant to a sinking fund, amortization or analogous provision) permitted by the terms of any series of Securities shall be made (except as otherwise specified pursuant to Section 3.01 for Securities of any series) in accordance with this Article; provided, however, that if any such terms of a series of Securities shall conflict with any provision of this Article, the terms of such series shall govern.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            </w:t>
      </w:r>
      <w:r>
        <w:rPr>
          <w:rFonts w:ascii="Times New Roman;Times;Serif" w:hAnsi="Times New Roman;Times;Serif"/>
          <w:b w:val="false"/>
          <w:i w:val="false"/>
          <w:caps w:val="false"/>
          <w:smallCaps w:val="false"/>
          <w:sz w:val="20"/>
          <w:u w:val="single"/>
        </w:rPr>
        <w:t>Selection of Securities to be Redeemed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Company shall at any time elect to redeem all or any portion of the Securities of a series then Outstanding, it shall at least 15 days prior to the Redemption Date fixed by the Company (unless a shorter period shall be satisfactory to the Trustee) notify the Trustee of such Redemption Date and of the principal amount of Securities to be redeemed, and thereupon the Trustee shall select, by lot or in such other manner as the Trustee shall deem appropriate and, in the case of Global Securities, in accordance with the procedures of the Depositary,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In any case where more than one Security of such series is registered in the same name, the Trustee may treat the aggregate principal amount so registered as if it were represented by one Security of such series. The Trustee shall, as soon as practicable, notify the Company in writing of the Securities and portions of Securities so selected.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all purposes of this Indenture, unless the context otherwise requires, all provisions relating to the redemption of Securities shall relate, in the case of any Security redeemed or to be redeemed only in part, to the portion of the principal amount of such Security that has been or is to be redeemed. If the Company shall so direct, Securities registered in the name of the Company, any Affiliate or any Subsidiary thereof shall not be included in the Securities selected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            </w:t>
      </w:r>
      <w:r>
        <w:rPr>
          <w:rFonts w:ascii="Times New Roman;Times;Serif" w:hAnsi="Times New Roman;Times;Serif"/>
          <w:b w:val="false"/>
          <w:i w:val="false"/>
          <w:caps w:val="false"/>
          <w:smallCaps w:val="false"/>
          <w:sz w:val="20"/>
          <w:u w:val="single"/>
        </w:rPr>
        <w:t>Notice of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of redemption shall be given by the Company or, at the Company’s request, by the Trustee in the name and at the expense of the Company, not less than 10 nor more than 30 days prior to the Redemption Date, to the Holders of Securities of any series to be redeemed in whole or in part pursuant to this Article, in the manner provided in Section 16.04. Any notice so given shall be conclusively presumed to have been duly given, whether or not the Holder receives such notice. Failure to give such notice, or any defect in such notice to the Holder of any Security of a series designated for redemption, in whole or in part, shall not affect the sufficiency of any notice of redemption with respect to the Holder of any other Security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notices of redemption shall identify the Securities to be redeemed (including CUSIP, ISIN or other similar numbers, if available along with the statement in Section 3.13) and shall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election by the Company to redeem Securities of such series pursuant to provisions contained in this Indenture or the terms of the Securities of such series or a supplemental indenture establishing such series, if such be the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less than all Outstanding Securities of any series are to be redeemed, the identification (and, in the case of partial redemption, the principal amounts) of the Securities of such series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that on the Redemption Date the Redemption Price will become due and payable upon each such Security to be redeemed, and that, if applicable, interest thereon shall cease to accrue on and after said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Place or Places of Payment where such Securities are to be surrendered for payment of the Redemption Price;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that the redemption is for a sinking fund, if such is the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the Company’s request, the Trustee shall give the notice of redemption in the Company’s name and at the Company’s expense; provided, however, that the Company shall have delivered to the Trustee, at least five (5) calendar days before notice of redemption is required to be sent or caused to be sent to Holders pursuant to this Section (or such shorter period as is acceptable to the Trustee), an Officer’s Certificate requesting that the Trustee give such notice and setting forth the information to be stated in the notice as provided in the preceding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            </w:t>
      </w:r>
      <w:r>
        <w:rPr>
          <w:rFonts w:ascii="Times New Roman;Times;Serif" w:hAnsi="Times New Roman;Times;Serif"/>
          <w:b w:val="false"/>
          <w:i w:val="false"/>
          <w:caps w:val="false"/>
          <w:smallCaps w:val="false"/>
          <w:sz w:val="20"/>
          <w:u w:val="single"/>
        </w:rPr>
        <w:t>Deposit of Redemption Price</w:t>
      </w:r>
      <w:r>
        <w:rPr>
          <w:rFonts w:ascii="Times New Roman;Times;Serif" w:hAnsi="Times New Roman;Times;Serif"/>
          <w:b w:val="false"/>
          <w:i w:val="false"/>
          <w:caps w:val="false"/>
          <w:smallCaps w:val="false"/>
          <w:sz w:val="20"/>
        </w:rPr>
        <w:t>. On or prior to 11:00 a.m., New York City time, on the Redemption Date for any Securities, the Company shall deposit with the Trustee or with a Paying Agent (or, if the Company is acting as its own Paying Agent, segregate and hold in trust as provided in Section 6.03) an amount of money in the Currency in which such Securities are denominated (except as provided pursuant to Section 3.01) sufficient to pay the Redemption Price of such Securities or any portions thereof that are to be redeemed on that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            </w:t>
      </w:r>
      <w:r>
        <w:rPr>
          <w:rFonts w:ascii="Times New Roman;Times;Serif" w:hAnsi="Times New Roman;Times;Serif"/>
          <w:b w:val="false"/>
          <w:i w:val="false"/>
          <w:caps w:val="false"/>
          <w:smallCaps w:val="false"/>
          <w:sz w:val="20"/>
          <w:u w:val="single"/>
        </w:rPr>
        <w:t>Securities Payable on Redemption Date</w:t>
      </w:r>
      <w:r>
        <w:rPr>
          <w:rFonts w:ascii="Times New Roman;Times;Serif" w:hAnsi="Times New Roman;Times;Serif"/>
          <w:b w:val="false"/>
          <w:i w:val="false"/>
          <w:caps w:val="false"/>
          <w:smallCaps w:val="false"/>
          <w:sz w:val="20"/>
        </w:rPr>
        <w:t>. Notice of redemption having been given as aforesaid, any Securities so to be redeemed shall, on the Redemption Date, become due and payable at the Redemption Price and from and after such date (unless the Company shall Default in the payment of the Redemption Price) such Securities shall cease to bear interest. Upon surrender of any such Security for redemption in accordance with said notice, such Security shall be paid by the Company at the Redemption Price; provided, however, that (unless otherwise provided pursuant to Section 3.01) installments of interest that have a Stated Maturity on or prior to the Redemption Date for such Securities shall be payable according to the terms of such Securities and the provisions of Section 3.08.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Security called for redemption shall not be so paid upon surrender thereof for redemption, the principal thereof and premium, if any, thereon shall, until paid, bear interest from the Redemption Date at the rate borne by or prescribed in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            </w:t>
      </w:r>
      <w:r>
        <w:rPr>
          <w:rFonts w:ascii="Times New Roman;Times;Serif" w:hAnsi="Times New Roman;Times;Serif"/>
          <w:b w:val="false"/>
          <w:i w:val="false"/>
          <w:caps w:val="false"/>
          <w:smallCaps w:val="false"/>
          <w:sz w:val="20"/>
          <w:u w:val="single"/>
        </w:rPr>
        <w:t>Securities Redeemed in Part</w:t>
      </w:r>
      <w:r>
        <w:rPr>
          <w:rFonts w:ascii="Times New Roman;Times;Serif" w:hAnsi="Times New Roman;Times;Serif"/>
          <w:b w:val="false"/>
          <w:i w:val="false"/>
          <w:caps w:val="false"/>
          <w:smallCaps w:val="false"/>
          <w:sz w:val="20"/>
        </w:rPr>
        <w:t>. Any Security that is to be redeemed only in part shall be surrendered at the Corporate Trust Office or such other office or agency of the Company as is specified in the notice of redemption with, if the Company, the Registrar or the Trustee so requires, due endorsement by, or a written instrument of transfer in form satisfactory to the Company, the Registrar and the Trustee duly executed by the Holder thereof or his, her or its attorney duly authorized in writing, and the Company shall execute, and the Trustee shall authenticate and deliver to the Holder of such Security without service charge, a new Security or Securities of the same series, of like tenor and form, of any authorized denomination as requested by such Holder in aggregate principal amount equal to and in exchange for the unredeemed portion of the principal of the Security so surrendered; except that if a Global Security is so surrendered, the Company shall execute, and the Trustee shall authenticate and deliver to the Depositary for such Global Security, without service charge, a new Global Security in a denomination equal to and in exchange for the unredeemed portion of the principal of the Global Security so surrendered. In the case of a Security providing appropriate space for such notation, at the option of the Holder thereof, the Trustee, in lieu of delivering a new Security or Securities as aforesaid, may make a notation on such Security of the payment of the redeemed portion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SINKING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            </w:t>
      </w:r>
      <w:r>
        <w:rPr>
          <w:rFonts w:ascii="Times New Roman;Times;Serif" w:hAnsi="Times New Roman;Times;Serif"/>
          <w:b w:val="false"/>
          <w:i w:val="false"/>
          <w:caps w:val="false"/>
          <w:smallCaps w:val="false"/>
          <w:sz w:val="20"/>
          <w:u w:val="single"/>
        </w:rPr>
        <w:t>Applicability of Sinking Fund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Redemption of Securities permitted or required pursuant to a sinking fund for the retirement of Securities of a series by the terms of such series of Securities shall be made in accordance with such terms of such series of Securities and this Article, except as otherwise specified pursuant to Article IV for Securities of such series, provided, however, that if any such terms of a series of Securities shall conflict with any provision of this Article, the terms of such series shall govern.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Mandatory Sinking Fund Payment may be subject to reduction as provided in Section 5.02.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            </w:t>
      </w:r>
      <w:r>
        <w:rPr>
          <w:rFonts w:ascii="Times New Roman;Times;Serif" w:hAnsi="Times New Roman;Times;Serif"/>
          <w:b w:val="false"/>
          <w:i w:val="false"/>
          <w:caps w:val="false"/>
          <w:smallCaps w:val="false"/>
          <w:sz w:val="20"/>
          <w:u w:val="single"/>
        </w:rPr>
        <w:t>Mandatory Sinking Fund Obligation</w:t>
      </w:r>
      <w:r>
        <w:rPr>
          <w:rFonts w:ascii="Times New Roman;Times;Serif" w:hAnsi="Times New Roman;Times;Serif"/>
          <w:b w:val="false"/>
          <w:i w:val="false"/>
          <w:caps w:val="false"/>
          <w:smallCaps w:val="false"/>
          <w:sz w:val="20"/>
        </w:rPr>
        <w:t>. The Company may, at its option, satisfy any Mandatory Sinking Fund Payment obligation, in whole or in part, with respect to a particular series of Securities by (a) delivering to the Trustee Securities of such series in transferable form theretofore purchased or otherwise acquired by the Company or redeemed at the election of the Company pursuant to Article IV or (b) receiving credit for Securities of such series (not previously so credited) acquired by the Company and theretofore delivered to the Trustee. The Trustee shall credit such Mandatory Sinking Fund Payment obligation with an amount equal to the Redemption Price specified in such Securities for redemption through operation of the sinking fund and the amount of such Mandatory Sinking Fund Payment shall be reduced accordingly. If the Company shall elect to so satisfy any Mandatory Sinking Fund Payment obligation, it shall deliver to the Trustee not less than 45 days prior to the relevant sinking fund payment date an Officer’s Certificate, which shall designate the Securities (and portions thereof, if any) so delivered or credited and which shall be accompanied by such Securities (to the extent not theretofore delivered) in transferable form. In case of the failure of the Company, at or before the time so required, to give such notice and deliver such Securities the Mandatory Sinking Fund Payment obligation shall be paid entirely in moneys.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            </w:t>
      </w:r>
      <w:r>
        <w:rPr>
          <w:rFonts w:ascii="Times New Roman;Times;Serif" w:hAnsi="Times New Roman;Times;Serif"/>
          <w:b w:val="false"/>
          <w:i w:val="false"/>
          <w:caps w:val="false"/>
          <w:smallCaps w:val="false"/>
          <w:sz w:val="20"/>
          <w:u w:val="single"/>
        </w:rPr>
        <w:t>Optional Redemption at Sinking Fund Redemption Price</w:t>
      </w:r>
      <w:r>
        <w:rPr>
          <w:rFonts w:ascii="Times New Roman;Times;Serif" w:hAnsi="Times New Roman;Times;Serif"/>
          <w:b w:val="false"/>
          <w:i w:val="false"/>
          <w:caps w:val="false"/>
          <w:smallCaps w:val="false"/>
          <w:sz w:val="20"/>
        </w:rPr>
        <w:t>. In addition to the sinking fund requirements of Section 5.02, to the extent, if any, provided for by the terms of a particular series of Securities, the Company may, at its option, make an Optional Sinking Fund Payment with respect to such Securities. Unless otherwise provided by such terms, (a) to the extent that the right of the Company to make such Optional Sinking Fund Payment shall not be exercised in any year, it shall not be cumulative or carried forward to any subsequent year, and (b) such optional payment shall operate to reduce the amount of any Mandatory Sinking Fund Payment obligation as to Securities of the same series. If the Company intends to exercise its right to make such optional payment in any year it shall deliver to the Trustee not less than 45 days prior to the relevant sinking fund payment date an Officer’s Certificate stating that the Company will exercise such optional right, and specifying the amount which the Company will pay on or before the next succeeding sinking fund payment date. Such Officer’s Certificate shall also state that no Event of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            </w:t>
      </w:r>
      <w:r>
        <w:rPr>
          <w:rFonts w:ascii="Times New Roman;Times;Serif" w:hAnsi="Times New Roman;Times;Serif"/>
          <w:b w:val="false"/>
          <w:i w:val="false"/>
          <w:caps w:val="false"/>
          <w:smallCaps w:val="false"/>
          <w:sz w:val="20"/>
          <w:u w:val="single"/>
        </w:rPr>
        <w:t>Application of Sinking Fund Payment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sinking fund payment or payments made in funds pursuant to either Section 5.02 or 5.03 with respect to a particular series of Securities plus any unused balance of any preceding sinking fund payments made in funds with respect to such series shall exceed $50,000 (or a lesser sum if the Company shall so request, or such equivalent sum for Securities denominated other than in U.S. Dollars), it shall be applied by the Trustee on the sinking fund payment date next following the date of such payment, unless the date of such payment shall be a sinking fund payment date, in which case such payment shall be applied on such sinking fund payment date, to the redemption of Securities of such series at the redemption price specified pursuant to Section 4.03(b). The Trustee shall select, in the manner provided in Section 4.02, for redemption on such sinking fund payment date, a sufficient principal amount of Securities of such series to absorb said funds, as nearly as may be, and shall, at the expense and in the name of the Company, thereupon cause notice of redemption, prepared by the Company, of the Securities to be given in substantially the manner provided in Section 4.03(a) for the redemption of Securities in part at the option of the Company, except that the notice of redemption shall also state that the Securities are being redeemed for the sinking fund. Any sinking fund moneys not so applied by the Trustee to the redemption of Securities of such series shall be added to the next sinking fund payment received in funds by the Trustee and, together with such payment, shall be applied in accordance with the provisions of this Section 5.04. Any and all sinking fund moneys held by the Trustee on the last sinking fund payment date with respect to Securities of such series, and not held for the payment or redemption of particular Securities of such series, shall be applied by the Trustee to the payment of the principal of the Securities of such series at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each sinking fund payment date, the Company shall pay to the Trustee a sum equal to all interest accrued to but not including the date fixed for redemption on Securities to be redeemed on such sinking fund payment date pursuant to this Section 5.04.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not redeem any Securities of a series with sinking fund moneys or mail any notice of redemption of Securities of such series by operation of the sinking fund during the continuance of a Default in payment of interest on any Securities of such series or of any Event of Default (other than an Event of Default occurring as a consequence of this paragraph) of which a Responsible Officer of the Trustee has actual knowledge, except that if the notice of redemption of any Securities of such series shall theretofore have been mailed in accordance with the provisions hereof, the Trustee shall redeem such Securities if funds sufficient for that purpose shall be deposited with the Trustee in accordance with the terms of this Article. Except as aforesaid, any moneys in the sinking fund at the time any such Default or Event of Default shall occur and any moneys thereafter paid into the sinking fund shall, during the continuance of such Default or Event of Default, be held as security for the payment of all the Securities of such series; provided, however, that in case such Default or Event of Default shall have been cured or waived as provided herein, such moneys shall thereafter be applied on the next sinking fund payment date on which such moneys are required to be applied pursuant to the provisions of this Section 5.04.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PARTICULAR COVENANTS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covenants and agrees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w:t>
      </w:r>
      <w:r>
        <w:rPr>
          <w:rFonts w:ascii="Times New Roman;Times;Serif" w:hAnsi="Times New Roman;Times;Serif"/>
          <w:b w:val="false"/>
          <w:i w:val="false"/>
          <w:caps w:val="false"/>
          <w:smallCaps w:val="false"/>
          <w:sz w:val="20"/>
          <w:u w:val="single"/>
        </w:rPr>
        <w:t>Payments of Securities</w:t>
      </w:r>
      <w:r>
        <w:rPr>
          <w:rFonts w:ascii="Times New Roman;Times;Serif" w:hAnsi="Times New Roman;Times;Serif"/>
          <w:b w:val="false"/>
          <w:i w:val="false"/>
          <w:caps w:val="false"/>
          <w:smallCaps w:val="false"/>
          <w:sz w:val="20"/>
        </w:rPr>
        <w:t>. The Company will duly and punctually pay the principal of and premium, if any, on each series of Securities, and the interest which shall have accrued thereon, at the dates and place and in the manner provided in the Securities and in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will maintain in each Place of Payment for any series of Securities an office or agency where Securities may be presented or surrendered for payment, where Securities of such series may be surrendered for registration of transfer or exchange and where notices and demands to or upon the Company in respect of the Securities and this Indenture may be served (the “Paying Agent”).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Paying Agent to receive all presentations, surrenders, notices and demands.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may also from time to time designate different or additional offices or agencies where the Securities of any series may be presented or surrendered for any or all such purposes (in or outside of such Place of Payment), and may from time to time rescind any such designations; provided, however, that no such designation or rescission shall in any manner relieve the Company of its obligations described in the preceding paragraph. The Company will give prompt written notice to the Trustee of any such additional designation or rescission of designation and of any change in the location of any such different or additional office or agency. The Company shall enter into an appropriate agency agreement with any Paying Agent not a party to this Indenture. The agreement shall implement the provisions of this Indenture that relate to such agent. The Company shall notify the Trustee of the name and address of each such agent. The Company or any Affiliate thereof may act as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            </w:t>
      </w:r>
      <w:r>
        <w:rPr>
          <w:rFonts w:ascii="Times New Roman;Times;Serif" w:hAnsi="Times New Roman;Times;Serif"/>
          <w:b w:val="false"/>
          <w:i w:val="false"/>
          <w:caps w:val="false"/>
          <w:smallCaps w:val="false"/>
          <w:sz w:val="20"/>
          <w:u w:val="single"/>
        </w:rPr>
        <w:t>To Hold Payment in Trust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Company or an Affiliate thereof shall at any time act as Paying Agent with respect to any series of Securities, then, on or before the date on which the principal of and premium, if any, or interest on any of the Securities of that series by their terms or as a result of the calling thereof for redemption shall become payable, the Company or such Affiliate will segregate and hold in trust for the benefit of the Holders of such Securities or the Trustee a sum sufficient to pay such principal and premium, if any, or interest which shall have so become payable until such sums shall be paid to such Holders or otherwise disposed of as herein provided, and will notify the Trustee of its action or failure to act in that regard. Upon any proceeding under any federal bankruptcy laws with respect to the Company or any Affiliate thereof, if the Company or such Affiliate is then acting as Paying Agent, the Trustee shall replace the Company or such Affiliate as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shall appoint, and at the time have, a Paying Agent for the payment of the principal of and premium, if any, or interest on any series of Securities, then prior to 11:00 a.m., New York City time, on the date on which the principal of and premium, if any, or interest on any of the Securities of that series shall become payable as aforesaid, whether by their terms or as a result of the calling thereof for redemption, the Company will deposit with such Paying Agent a sum sufficient to pay such principal and premium, if any, or interest, such sum to be held in trust for the benefit of the Holders of such Securities or the Trustee, and (unless such Paying Agent is the Trustee), the Company or any other obligor of such Securities will promptly notify the Trustee of its payment or failure to make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Paying Agent shall be other than the Trustee, the Company will cause such Paying Agent to execute and deliver to the Trustee an instrument in which such Paying Agent shall agree with the Trustee, subject to the provisions of this Section 6.03, that such Paying Agent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hold all moneys held by it for the payment of the principal of and premium, if any, or interest on the Securities of that series in trust for the benefit of the Holders of such Securities until such sums shall be paid to such Holders or otherwise disposed of as herein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give to the Trustee notice of any Default by the Company or any other obligor upon the Securities of that series in the making of any payment of the principal of and premium, if any, or interest on the Securities of that series;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at any time during the continuance of any such Default, upon the written request of the Trustee, pay to the Trustee all sums so held in trust by such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Anything in this Section 6.03 to the contrary notwithstanding, the Company may at any time, for the purpose of obtaining a release, satisfaction or discharge of this Indenture or for any other reason, pay or cause to be paid to the Trustee all sums held in trust by the Company or by any Paying Agent other than the Trustee as required by this Section 6.03, such sums to be held by the Trustee upon the same trusts as those upon which such sums were held by the Company or such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money deposited with the Trustee or any Paying Agent, or then held by the Company, in trust for the payment of the principal of and premium, if any, or interest on any Security of any series and remaining unclaimed for two years after such principal and premium, if any, or interest has become due and payable shall be paid to the Company upon Company Order along with any interest that has accumulated thereon as a result of such money being invested at the direction of the Company, or (if then held by the Company) shall be discharged from such trust, and the Holder of such Security shall thereafter, as an unsecured general creditor, look only to the Company for payment of such amounts without interest thereon,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The City of New York, notice that such money remains unclaimed and that, after a date specified therein, which shall not be less than 30 days from the date of such publication, any unclaimed balance of such money then remaining will be repaid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            </w:t>
      </w:r>
      <w:r>
        <w:rPr>
          <w:rFonts w:ascii="Times New Roman;Times;Serif" w:hAnsi="Times New Roman;Times;Serif"/>
          <w:b w:val="false"/>
          <w:i w:val="false"/>
          <w:caps w:val="false"/>
          <w:smallCaps w:val="false"/>
          <w:sz w:val="20"/>
          <w:u w:val="single"/>
        </w:rPr>
        <w:t>Merger, Consolidation and Sale of Assets</w:t>
      </w:r>
      <w:r>
        <w:rPr>
          <w:rFonts w:ascii="Times New Roman;Times;Serif" w:hAnsi="Times New Roman;Times;Serif"/>
          <w:b w:val="false"/>
          <w:i w:val="false"/>
          <w:caps w:val="false"/>
          <w:smallCaps w:val="false"/>
          <w:sz w:val="20"/>
        </w:rPr>
        <w:t>. Except as otherwise provided as contemplated by Section 3.01 with respect to any series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will not consolidate with any other entity or permit a merger of any other entity into the Company or permit the Company to be merged into any other entity, or sell, convey, transfer or lease all or substantially all its assets to another entity, unless (i) either the Company shall be the continuing entity, or the successor, transferee or lessee entity (if other than the Company) shall be organized and existing under the laws of the United States or any State thereof or the District of Columbia and expressly assume, by indenture supplemental hereto, executed and delivered by such entity prior to or simultaneously with such consolidation, merger, sale, conveyance, transfer or lease, the due and punctual payment of the principal of and interest and premium, if any, on all the Securities, according to their tenor, and the due and punctual performance and observance of all other obligations to the Holders and the Trustee under this Indenture or under the Securities to be performed or observed by the Company; and (ii) immediately after such consolidation, merger, sale, conveyance, transfer or lease the Company or the successor, transferee or lessee entity (if other than the Company) would not be in Default in the performance of any covenant or condition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any consolidation with or merger into any other entity, or any sale, conveyance or transfer lease of all or substantially all of the assets of the Company in accordance with this Section 6.04, the successor entity formed by such consolidation or into or with which the Company is merged or to which the Company is sold or to which such conveyance, transfer or lease is made shall succeed to, and be substituted for, and may exercise every right and power of, the Company under this Indenture with the same effect as if such successor entity had been named as the Company herein, and thereafter, except in the case of a lease, the predecessor Company shall be relieved of all obligations and covenants under this Indenture and the Securities, and from time to time such entity may exercise each and every right and power of the Company under this Indenture, in the name of the Company, or in its own name; and any act or proceeding by any provision of this Indenture required or permitted to be done by the Board of Directors or any officer of the Company may be done with like force and effect by the like board or officer of any entity that shall at the time be the successor of the Company hereunder. In the event of any such sale or conveyance, but not any such lease, the Company (or any successor entity which shall theretofore have become such in the manner described in this Section 6.04) shall be discharged from all obligations and covenants under this Indenture and the Securities and may thereupon be dissolved and liquidated.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            </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 Except as otherwise provided as contemplated by Section 3.01 with respect to any series of Securities, the Company shall furnish to the Trustee annually, within 120 days after the end of each fiscal year, a brief certificate from an Officer as to his or her knowledge of the Company’s compliance with all conditions and covenants under this Indenture (which compliance shall be determined without regard to any period of grace or requirement of notice provided under this Indenture) and, in the event of any Default, specifying each such Default and the nature and status thereof of which such person may have knowledge. Such certificates need not comply with Section 16.01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            </w:t>
      </w:r>
      <w:r>
        <w:rPr>
          <w:rFonts w:ascii="Times New Roman;Times;Serif" w:hAnsi="Times New Roman;Times;Serif"/>
          <w:b w:val="false"/>
          <w:i w:val="false"/>
          <w:caps w:val="false"/>
          <w:smallCaps w:val="false"/>
          <w:sz w:val="20"/>
          <w:u w:val="single"/>
        </w:rPr>
        <w:t>Conditional Waiver by Holders of Securities</w:t>
      </w:r>
      <w:r>
        <w:rPr>
          <w:rFonts w:ascii="Times New Roman;Times;Serif" w:hAnsi="Times New Roman;Times;Serif"/>
          <w:b w:val="false"/>
          <w:i w:val="false"/>
          <w:caps w:val="false"/>
          <w:smallCaps w:val="false"/>
          <w:sz w:val="20"/>
        </w:rPr>
        <w:t>. Anything in this Indenture to the contrary notwithstanding, the Company may fail or omit in any particular instance to comply with a covenant or condition set forth herein with respect to any series of Securities if the Company shall have obtained and filed with the Trustee, prior to the time of such failure or omission, evidence (as provided in Article VIII) of the consent of the Holders of a majority in aggregate principal amount of the Securities of such series at the time Outstanding (except as to a covenant or condition which under Section 14.02 cannot be modified or amended without the consent of the Holder of each Outstanding Security of such series affected, in which case the consent of the Holder of each Outstanding Security of such series affected shall be required), either waiving such compliance in such instance or generally waiving compliance with such covenant or condition, but no such waiver shall extend to or affect such covenant or condition except to the extent so expressly waived, or impair any right consequent thereon and, until such waiver shall have become effective, the obligations of the Company and the duties of the Trustee in respect of any such covenant or condition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            </w:t>
      </w:r>
      <w:r>
        <w:rPr>
          <w:rFonts w:ascii="Times New Roman;Times;Serif" w:hAnsi="Times New Roman;Times;Serif"/>
          <w:b w:val="false"/>
          <w:i w:val="false"/>
          <w:caps w:val="false"/>
          <w:smallCaps w:val="false"/>
          <w:sz w:val="20"/>
          <w:u w:val="single"/>
        </w:rPr>
        <w:t>Statement by Officers as to Default</w:t>
      </w:r>
      <w:r>
        <w:rPr>
          <w:rFonts w:ascii="Times New Roman;Times;Serif" w:hAnsi="Times New Roman;Times;Serif"/>
          <w:b w:val="false"/>
          <w:i w:val="false"/>
          <w:caps w:val="false"/>
          <w:smallCaps w:val="false"/>
          <w:sz w:val="20"/>
        </w:rPr>
        <w:t>. The Company shall deliver to the Trustee as soon as possible and in any event within 30 days after the Company becomes aware of the occurrence of any Event of Default or an event which, with the giving of notice or the lapse of time or both, would constitute an Event of Default, an Officer’s Certificate setting forth the details of such Event of Default or Default and the action which the Company proposes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REMEDIES OF TRUSTEE AND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Except where otherwise indicated by the context or where the term is otherwise defined for a specific purpose, the term “Event of Default” as used in this Indenture with respect to Securities of any series shall mean any of the following described events unless it is either inapplicable to a particular series or it is specifically deleted or modified in the manner contemplated in Section 3.01: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failure of the Company to pay any installment of interest on any Security of such series when and as the same shall become payable, which failure shall have continued unremedied for a period of 30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failure of the Company to pay the principal of (and premium, if any, on) any Security of such series, when and as the same shall become payable, whether at Maturity as therein expressed, by call for redemption (otherwise than pursuant to a sinking fund), upon acceleration under this Indenture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failure of the Company to pay a sinking fund installment, if any, when and as the same shall become payable by the terms of a Security of such series, which failure shall have continued unremedied for a period of 30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failure of the Company, subject to the provisions of Section 6.06, to perform any covenants or satisfy any conditions contained in this Indenture (or the terms of the Securities of such series or a supplemental indenture establishing such series) (other than a covenant or condition which has been expressly included in this Indenture solely for the benefit of a series of Securities other than that series and other than a covenant or condition a default in the performance of which is elsewhere in this Section 7.01 specifically addressed), which failure shall not have been remedied, or without provision deemed to be adequate for the remedying thereof having been made, for a period of 90 days after written notice shall have been given to the Company by the Trustee or shall have been given to the Company and the Trustee by Holders of 25% or more in aggregate principal amount of the Securities of such series then Outstanding, specifying such failure, requiring the Company to remedy the same and stating that such notice is a “Notice of Default”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entry by a court having jurisdiction in the premises of a decree or order for relief in respect of the Company in an involuntary case under the federal bankruptcy laws, as now or hereafter constituted, or any other applicable federal or state bankruptcy, insolvency or other similar law now or hereafter in effect, or appointing a receiver, liquidator, assignee, custodian, trustee or sequestrator (or similar official) of the Company or of substantially all the property of the Company or ordering the winding-up or liquidation of its affairs and such decree or order shall remain unstayed and in effect for a period of 90 consecutive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commencement by the Company of a voluntary case under the federal bankruptcy laws, as now or hereafter constituted, or any other applicable federal or state bankruptcy, insolvency or other similar law now or hereafter in effect, or the consent by the Company to the entry of an order for relief in an involuntary case under any such law, or the consent by the Company to the appointment of or taking possession by a receiver, liquidator, assignee, trustee, custodian or sequestrator (or similar official) of the Company or of substantially all the property of the Company or the making by it of an assignment for the benefit of creditors or the admission by it in writing of its inability to pay its debts generally as they become due, or the taking of corporate action by the Company in furtherance of any action;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occurrence of any other Event of Default with respect to Securities of such series as provided in Section 3.01;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no event described in clause (d) or (other than with respect to a payment default) (g) above shall constitute an Event of Default hereunder until the Trustee or the Holders of 25% or more in aggregate principal amount of the Securities of such series then Outstanding, notify the Company (and the Trustee in case of notice by the Holders) of the Default, specifying the Default, requiring the Company to remedy the same and stating that such notice is a “Notice of Default”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provisions of this Section 7.01, if the principal or any premium or interest on any Security is payable in a Currency other than the Currency of the United States and such Currency is not available to the Company for making payment thereof due to the imposition of exchange controls or other circumstances beyond the control of the Company, the Company will be entitled to satisfy its obligations to Holders of the Securities by making such payment in the Currency of the United States in an amount equal to the Currency of the United States equivalent of the amount payable in such other Currency, as determined by the Company’s agent in accordance with Section 3.11(c) hereof by reference to the noon buying rate in The City of New York for cable transfers for such Currency (“Exchange Rate”), as such Exchange Rate is reported or otherwise made available by the Federal Reserve Bank of New York on the date of such payment, or, if such rate is not then available, on the basis of the most recently available Exchange Rate. Notwithstanding the foregoing provisions of this Section 7.01, any payment made under such circumstances in the Currency of the United States where the required payment is in a Currency other than the Currency of the United States will not constitute an Event of Default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            </w:t>
      </w:r>
      <w:r>
        <w:rPr>
          <w:rFonts w:ascii="Times New Roman;Times;Serif" w:hAnsi="Times New Roman;Times;Serif"/>
          <w:b w:val="false"/>
          <w:i w:val="false"/>
          <w:caps w:val="false"/>
          <w:smallCaps w:val="false"/>
          <w:sz w:val="20"/>
          <w:u w:val="single"/>
        </w:rPr>
        <w:t>Acceleration; Rescission and Annulment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provided as contemplated by Section 3.01 with respect to any series of Securities, if any one or more of the above-described Events of Default (other than an Event of Default specified in Section 7.01(e) or 7.01(f)) shall happen with respect to Securities of any series at the time Outstanding, then, and in each and every such case, during the continuance of any such Event of Default, the Trustee or the Holders of 25% or more in principal amount of the Securities of such series then Outstanding may declare the principal (or, if the Securities of that series are Original Issue Discount Securities, such portion of the principal amount as may be specified in the terms of that series) of and all accrued and unpaid interest on all the Securities of such series then Outstanding to be due and payable immediately by a notice in writing to the Company (and to the Trustee if given by Holders), and upon any such acceleration such principal amount (or specified amount) and accrued and unpaid interest thereon shall become immediately due and payable. If an Event of Default specified in Section 7.01(e) or 7.01(f) occurs and is continuing, then in every such case, the principal amount (or, if the Securities of that series are Original Issue Discount Securities, such portion of the principal amount as may be specified by the terms of that series) of and accrued and unpaid interest on all of the Securities of that series then Outstanding shall automatically, and without any acceleration or any other action on the part of the Trustee or any Holder, become due and payable immediately. Upon payment of such amounts in the Currency in which such Securities are denominated (subject to the last paragraph of Section 7.01 and except as otherwise provided pursuant to Section 3.01), all obligations of the Company in respect of the payment of principal of and interest on the Securities of such series shall terminate.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provisions of Section 7.02(a), however, are subject to the condition that, at any time after the principal and accrued and unpaid interest on all the Securities of such series, to which any one or more of the above-described Events of Default is applicable, shall have been so declared to be or shall have automatically become due and payable, and before a judgment or decree for payment of the money due has been obtained by the Trustee as hereinafter provided in this Article, Holders of a majority in principal amount of the Securities of that series then Outstanding, by written notice to the Company and the Trustee, may rescind and annul such acceleration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paid or deposited with the Trustee or Paying Agent a sum in the Currency in which such Securities are denominated (subject to the last paragraph of Section 7.01 and except as otherwise provided pursuant to Section 3.01) sufficient to pay: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5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amounts owing the Trustee and any predecessor trustee hereunder under Section 11.01(a) (provided, however, that all sums payable under this clause (A) shall be paid in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5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accrued and unpaid interest, if any, upon all the Securities of such series with interest thereon to the extent that interest thereon shall be legally enforceable, on any overdue installment of interest at the rate borne by or prescribed in such Securities;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5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principal of and accrued and unpaid premium, if any, on any Securities of such series that have become due otherwise than by such acceleration with interest thereon to the extent that interest thereon shall be legally enforceable, on any overdue installment of interest at the rate borne by or prescribed in such Securities;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every other Default and Event of Default with respect to Securities of that series, other than the non-payment of the principal of Securities of that series which have become due solely by such acceleration, have been cured or waived as provided in Section 7.06.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such rescission shall affect any subsequent default or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all purposes under this Indenture, if a portion of the principal of any Original Issue Discount Securities shall have been accelerated and declared due and payable pursuant to the provisions hereof, then, from and after such acceleration, unless such acceleration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            </w:t>
      </w:r>
      <w:r>
        <w:rPr>
          <w:rFonts w:ascii="Times New Roman;Times;Serif" w:hAnsi="Times New Roman;Times;Serif"/>
          <w:b w:val="false"/>
          <w:i w:val="false"/>
          <w:caps w:val="false"/>
          <w:smallCaps w:val="false"/>
          <w:sz w:val="20"/>
          <w:u w:val="single"/>
        </w:rPr>
        <w:t>Other Remedies</w:t>
      </w:r>
      <w:r>
        <w:rPr>
          <w:rFonts w:ascii="Times New Roman;Times;Serif" w:hAnsi="Times New Roman;Times;Serif"/>
          <w:b w:val="false"/>
          <w:i w:val="false"/>
          <w:caps w:val="false"/>
          <w:smallCaps w:val="false"/>
          <w:sz w:val="20"/>
        </w:rPr>
        <w:t>. If the Company shall fail for a period of 30 days to pay any installment of interest on the Securities of any series or shall fail to pay any principal of and premium, if any, on any of the Securities of such series when and as the same shall become due and payable, whether at Maturity, or by call for redemption (other than pursuant to the sinking fund), by acceleration as authorized by this Indenture, or otherwise, or shall fail for a period of 30 days to make any required sinking fund payment as to a series of Securities, then, upon demand of the Trustee, the Company will pay to the Paying Agent for the benefit of the Holders of Securities of such series then Outstanding the whole amount which then shall have become due and payable on all the Securities of such series for principal, premium, if any, and accrued and unpaid interest, with interest (so far as the same may be legally enforceable) on the overdue principal and on the overdue premium, if any, and accrued and unpaid interest at the rate borne by or prescribed in such Securities, and all amounts owing the Trustee and any predecessor trustee hereunder under Section 11.01(a).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 Company shall fail forthwith to pay such amounts upon such demand, the Trustee, in its own name and as trustee of an express trust, shall be entitled and empowered to institute any action or proceeding at law or in equity for the collection of the sums so due and unpaid, and may prosecute any such action or proceeding to judgment or final decree, and may enforce any such judgment or final decree against the Company or any other obligor upon the Securities of such series, and collect the moneys adjudged or decreed to be payable out of the property of the Company or any other obligor upon the Securities of such series, wherever situated, in the manner provided by law. Every recovery of judgment in any such action or other proceeding, subject to the payment to the Trustee of all amounts owing the Trustee and any predecessor trustee hereunder under Section 11.01(a), shall be for the ratable benefit of the Holders of such series of Securities which shall be the subject of such action or proceeding. All rights of action upon or under any of the Securities or this Indenture may be enforced by the Trustee without the possession of any of the Securities and without the production of any thereof at any trial or any proceeding relative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            </w:t>
      </w:r>
      <w:r>
        <w:rPr>
          <w:rFonts w:ascii="Times New Roman;Times;Serif" w:hAnsi="Times New Roman;Times;Serif"/>
          <w:b w:val="false"/>
          <w:i w:val="false"/>
          <w:caps w:val="false"/>
          <w:smallCaps w:val="false"/>
          <w:sz w:val="20"/>
          <w:u w:val="single"/>
        </w:rPr>
        <w:t>Trustee as Attorney-in-Fact</w:t>
      </w:r>
      <w:r>
        <w:rPr>
          <w:rFonts w:ascii="Times New Roman;Times;Serif" w:hAnsi="Times New Roman;Times;Serif"/>
          <w:b w:val="false"/>
          <w:i w:val="false"/>
          <w:caps w:val="false"/>
          <w:smallCaps w:val="false"/>
          <w:sz w:val="20"/>
        </w:rPr>
        <w:t>. The Trustee is hereby appointed, and each and every Holder of the Securities, by receiving and holding the same, shall be conclusively deemed to have appointed the Trustee, the true and lawful attorney-in-fact of such Holder, with authority to make or file (whether or not the Company shall be in Default in respect of the payment of the principal of, premium, if any, or interest on, any of the Securities), in its own name and as trustee of an express trust or otherwise as it shall deem advisable, in any receivership, insolvency, liquidation, bankruptcy, reorganization or other judicial proceeding relative to the Company or any other obligor upon the Securities or to their respective creditors or property, any and all claims, proofs of claim, proofs of debt, petitions, consents, other papers and documents and amendments of any thereof, as may be necessary or advisable in order to have the claims of the Trustee and any predecessor trustee hereunder and of the Holders of the Securities allowed in any such proceeding and to collect and receive any moneys or other property payable or deliverable on any such claim, and to execute and deliver any and all other papers and documents and to do and perform any and all other acts and things, as it may deem necessary or advisable in order to enforce in any such proceeding any of the claims of the Trustee and any predecessor trustee hereunder and of any of such Holders in respect of any of the Securities; and any receiver, assignee, trustee, custodian or debtor in any such proceeding is hereby authorized, and each and every taker or Holder of the Securities, by receiving and holding the same, shall be conclusively deemed to have authorized any such receiver, assignee, trustee, custodian or debtor, to make any such payment or delivery only to or on the order of the Trustee, and to pay to the Trustee any amount due it and any predecessor trustee hereunder under Section 11.01(a); provided, however, that nothing herein contained shall be deemed to authorize or empower the Trustee to consent to or accept or adopt, on behalf of any Holder of Securities, any plan of reorganization or readjustment affecting the Securities or the rights of any Holder thereof, or to authorize or empower the Trustee to vote in respect of the claim of any Holder of any Securities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            </w:t>
      </w:r>
      <w:r>
        <w:rPr>
          <w:rFonts w:ascii="Times New Roman;Times;Serif" w:hAnsi="Times New Roman;Times;Serif"/>
          <w:b w:val="false"/>
          <w:i w:val="false"/>
          <w:caps w:val="false"/>
          <w:smallCaps w:val="false"/>
          <w:sz w:val="20"/>
          <w:u w:val="single"/>
        </w:rPr>
        <w:t>Priorities</w:t>
      </w:r>
      <w:r>
        <w:rPr>
          <w:rFonts w:ascii="Times New Roman;Times;Serif" w:hAnsi="Times New Roman;Times;Serif"/>
          <w:b w:val="false"/>
          <w:i w:val="false"/>
          <w:caps w:val="false"/>
          <w:smallCaps w:val="false"/>
          <w:sz w:val="20"/>
        </w:rPr>
        <w:t>. Any moneys or properties collected by the Trustee with respect to a series of Securities under this Article VII shall be applied in the order following, at the date or dates fixed by the Trustee for the distribution of such moneys or properties and, in the case of the distribution of such moneys or properties on account of the Securities of any series, upon presentation of the Securities of such series, and stamping thereon the payment, if only partially paid, and upon surrender thereof, if fully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payment of all amounts due to the Trustee and any predecessor trustee hereunder under Section 11.01(a).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Subject to Article XV (to the extent applicable to any series of Securities then outstanding), to the payment of the amounts then due and unpaid for principal of and any premium and interest on the Outstanding Securities of such series in respect of which or for the benefit of which such money has been collected, ratably, without preference or priority of any kind, according to the amounts due and payable on such Outstanding Securities for principal and any premium and interest,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surplus then remaining shall be paid to the Company or as directed by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            </w:t>
      </w:r>
      <w:r>
        <w:rPr>
          <w:rFonts w:ascii="Times New Roman;Times;Serif" w:hAnsi="Times New Roman;Times;Serif"/>
          <w:b w:val="false"/>
          <w:i w:val="false"/>
          <w:caps w:val="false"/>
          <w:smallCaps w:val="false"/>
          <w:sz w:val="20"/>
          <w:u w:val="single"/>
        </w:rPr>
        <w:t>Control by Securityholders; Waiver of Past Defaults</w:t>
      </w:r>
      <w:r>
        <w:rPr>
          <w:rFonts w:ascii="Times New Roman;Times;Serif" w:hAnsi="Times New Roman;Times;Serif"/>
          <w:b w:val="false"/>
          <w:i w:val="false"/>
          <w:caps w:val="false"/>
          <w:smallCaps w:val="false"/>
          <w:sz w:val="20"/>
        </w:rPr>
        <w:t>. The Holders of a majority in principal amount of the Securities of any series at the time Outstanding may direct the time, method and place of conducting any proceeding for any remedy available to the Trustee hereunder, or of exercising any trust or power hereby conferred upon the Trustee with respect to the Securities of such series, provided, however, that, subject to the provisions of Sections 11.01 and 11.02, the Trustee shall have the right to decline to follow any such direction if the Trustee being advised by counsel determines that the action so directed may not lawfully be taken or would be unduly prejudicial to Holders not joining in such direction or would involve the Trustee in personal liability (it being understood that the Trustee has no affirmative duty to determine whether any action is prejudicial to any Holder). Prior to any acceleration of the Maturity of the Securities of any series, the Holders of a majority in aggregate principal amount of such series of Securities at the time Outstanding may on behalf of the Holders of all of the Securities of such series waive any past Default or Event of Default hereunder and its consequences except a continuing Default in the payment of interest or any premium on or the principal of the Securities of such series and except as to a covenant or condition which under Section 14.02 cannot be modified or amended without the consent of the Holder of each Outstanding Security of such series affected, in which case the consent of the Holder of each Outstanding Security of such series affected shall be required for such waiver. Upon any such waiver the Company, the Trustee and the Holders of the Securities of such series shall be restored to their former positions and rights hereunder, respectively; but no such waiver shall extend to any subsequent or other Default or Event of Default or impair any right consequent thereon. Whenever any Default or Event of Default hereunder shall have been waived as permitted by this Section 7.06, said Default or Event of Default shall for all purposes of the Securities of such series and this Indenture be deemed to have been cured and to be not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7.07            </w:t>
      </w:r>
      <w:r>
        <w:rPr>
          <w:rFonts w:ascii="Times New Roman;Times;Serif" w:hAnsi="Times New Roman;Times;Serif"/>
          <w:b w:val="false"/>
          <w:i w:val="false"/>
          <w:caps w:val="false"/>
          <w:smallCaps w:val="false"/>
          <w:sz w:val="20"/>
          <w:u w:val="single"/>
        </w:rPr>
        <w:t>Limitation on Suits</w:t>
      </w:r>
      <w:r>
        <w:rPr>
          <w:rFonts w:ascii="Times New Roman;Times;Serif" w:hAnsi="Times New Roman;Times;Serif"/>
          <w:b w:val="false"/>
          <w:i w:val="false"/>
          <w:caps w:val="false"/>
          <w:smallCaps w:val="false"/>
          <w:sz w:val="20"/>
        </w:rPr>
        <w:t>. No Holder of any Security of any series shall have any right to institute any action, suit or proceeding at law or in equity for the execution of any trust hereunder or for the appointment of a receiver or for any other remedy hereunder, in each case with respect to an Event of Default with respect to such series of Securities, unless such Holder previously shall have given to the Trustee written notice of one or more of the Events of Default herein specified with respect to such series of Securities, and unless also the Holders of 25% or more in principal amount of the Securities of such series then Outstanding shall have requested the Trustee in writing to take action in respect of the matter complained of, and unless also there shall have been offered to the Trustee security and indemnity reasonably satisfactory to it against the costs, expenses and liabilities to be incurred therein or thereby, and the Trustee, for 60 days after receipt of such notification, request and offer of indemnity, shall have neglected or refused to institute any such action, suit or proceeding; and such notification, request and offer of indemnity are hereby declared in every such case to be conditions precedent to any such action, suit or proceeding by any Holder of any Security of such series; it being understood and intended that no one or more of the Holders of Securities of such series shall have any right in any manner whatsoever by his, her, its or their action to enforce any right hereunder, except in the manner herein provided, and that every action, suit or proceeding at law or in equity shall be instituted, had and maintained in the manner herein provided and for the equal benefit of all Holders of the Outstanding Securities of such series; provided, however, that nothing in this Indenture or in the Securities of such series shall affect or impair the obligation of the Company, which is absolute and unconditional, to pay the principal of, premium, if any, and interest on the Securities of such series to the respective Holders of such Securities at the respective due dates in such Securities stated, or affect or impair the right, which is also absolute and unconditional, of such Holders to institute suit to enforce the 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7.08            </w:t>
      </w:r>
      <w:r>
        <w:rPr>
          <w:rFonts w:ascii="Times New Roman;Times;Serif" w:hAnsi="Times New Roman;Times;Serif"/>
          <w:b w:val="false"/>
          <w:i w:val="false"/>
          <w:caps w:val="false"/>
          <w:smallCaps w:val="false"/>
          <w:sz w:val="20"/>
          <w:u w:val="single"/>
        </w:rPr>
        <w:t>Undertaking for Costs</w:t>
      </w:r>
      <w:r>
        <w:rPr>
          <w:rFonts w:ascii="Times New Roman;Times;Serif" w:hAnsi="Times New Roman;Times;Serif"/>
          <w:b w:val="false"/>
          <w:i w:val="false"/>
          <w:caps w:val="false"/>
          <w:smallCaps w:val="false"/>
          <w:sz w:val="20"/>
        </w:rPr>
        <w:t>. All parties to this Indenture and each Holder of any Security, by such Holder’s acceptance thereof, shall be deemed to have agreed that any court may in its discretion require, in any action, suit or proceeding for the enforcement of any right or remedy under this Indenture, or in any action, suit or proceeding against the Trustee for any action taken or omitted by it as Trustee, the filing by any party litigant in such action, suit or proceeding of an undertaking to pay the costs of such action, suit or proceeding, and that such court may in its discretion assess reasonable costs, including reasonable attorneys’ fees and expenses, against any party litigant in such action, suit or proceeding, having due regard to the merits and good faith of the claims or defenses made by such party litigant; provided, however, that the provisions of this Section 7.08 shall not apply to any action, suit or proceeding instituted by the Trustee, to any action, suit or proceeding instituted by any one or more Holders of Securities holding in the aggregate more than 10% in principal amount of the Securities of any series Outstanding, or to any action, suit or proceeding instituted by any Holder of Securities of any series for the enforcement of the payment of the principal of or premium, if any, or the interest on, any of the Securities of such series, on or after the respective due dates expressed in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            </w:t>
      </w:r>
      <w:r>
        <w:rPr>
          <w:rFonts w:ascii="Times New Roman;Times;Serif" w:hAnsi="Times New Roman;Times;Serif"/>
          <w:b w:val="false"/>
          <w:i w:val="false"/>
          <w:caps w:val="false"/>
          <w:smallCaps w:val="false"/>
          <w:sz w:val="20"/>
          <w:u w:val="single"/>
        </w:rPr>
        <w:t>Remedies Cumulative</w:t>
      </w:r>
      <w:r>
        <w:rPr>
          <w:rFonts w:ascii="Times New Roman;Times;Serif" w:hAnsi="Times New Roman;Times;Serif"/>
          <w:b w:val="false"/>
          <w:i w:val="false"/>
          <w:caps w:val="false"/>
          <w:smallCaps w:val="false"/>
          <w:sz w:val="20"/>
        </w:rPr>
        <w:t>. No remedy herein conferred upon or reserved to the Trustee or to the Holders of Securities of any series is intended to be exclusive of any other remedy or remedies, and each and every remedy shall be cumulative and shall be in addition to every other remedy given hereunder or now or hereafter existing at law or in equity or by statute. No delay or omission of the Trustee or of any Holder of the Securities of any series to exercise any right or power accruing upon any Default or Event of Default shall impair any such right or power or shall be construed to be a waiver of any such Default or Event of Default or an acquiescence therein; and every power and remedy given by this Article VII to the Trustee and to the Holders of Securities of any series, respectively, may be exercised from time to time and as often as may be deemed expedient by the Trustee or by the Holders of Securities of such series, as the case may be. In case the Trustee or any Holder of Securities of any series shall have proceeded to enforce any right under this Indenture and the proceedings for the enforcement thereof shall have been discontinued or abandoned because of waiver or for any other reason or shall have been adjudicated adversely to the Trustee or to such Holder of Securities, then and in every such case the Company, the Trustee and the Holders of the Securities of such series shall severally and respectively be restored to their former positions and rights hereunder, and thereafter all rights, remedies and powers of the Trustee and the Holders of the Securities of such series shall continue as though no such proceedings had been taken, except as to any matters so waived or adjudicated.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CONCERNING THE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            </w:t>
      </w:r>
      <w:r>
        <w:rPr>
          <w:rFonts w:ascii="Times New Roman;Times;Serif" w:hAnsi="Times New Roman;Times;Serif"/>
          <w:b w:val="false"/>
          <w:i w:val="false"/>
          <w:caps w:val="false"/>
          <w:smallCaps w:val="false"/>
          <w:sz w:val="20"/>
          <w:u w:val="single"/>
        </w:rPr>
        <w:t>Evidence of Action of Securityholders</w:t>
      </w:r>
      <w:r>
        <w:rPr>
          <w:rFonts w:ascii="Times New Roman;Times;Serif" w:hAnsi="Times New Roman;Times;Serif"/>
          <w:b w:val="false"/>
          <w:i w:val="false"/>
          <w:caps w:val="false"/>
          <w:smallCaps w:val="false"/>
          <w:sz w:val="20"/>
        </w:rPr>
        <w:t>. Whenever in this Indenture it is provided that the Holders of a specified percentage or a majority in aggregate principal amount of the Securities or of any series of Securities may take any action (including the making of any demand or request, the giving of any notice, consent or waiver or the taking of any other action), the fact that at the time of taking any such action the Holders of such specified percentage or majority have joined therein may be evidenced by (a) any instrument or any number of instruments of similar tenor executed by Securityholders in person, by an agent or by a proxy appointed in writing, including through an electronic system for tabulating consents operated by the Depositary for such series or otherwise (such action becoming effective, except as herein otherwise expressly provided, when such instruments or evidence of electronic consents are delivered to the Trustee and, where it is hereby expressly required, to the Company), or (b) by the record of the Holders of Securities voting in favor thereof at any meeting of Securityholders duly called and held in accordance with the provisions of Article IX, or (c) by a combination of such instrument or instruments and any such record of such a meeting of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            </w:t>
      </w:r>
      <w:r>
        <w:rPr>
          <w:rFonts w:ascii="Times New Roman;Times;Serif" w:hAnsi="Times New Roman;Times;Serif"/>
          <w:b w:val="false"/>
          <w:i w:val="false"/>
          <w:caps w:val="false"/>
          <w:smallCaps w:val="false"/>
          <w:sz w:val="20"/>
          <w:u w:val="single"/>
        </w:rPr>
        <w:t>Proof of Execution or Holding of Securities</w:t>
      </w:r>
      <w:r>
        <w:rPr>
          <w:rFonts w:ascii="Times New Roman;Times;Serif" w:hAnsi="Times New Roman;Times;Serif"/>
          <w:b w:val="false"/>
          <w:i w:val="false"/>
          <w:caps w:val="false"/>
          <w:smallCaps w:val="false"/>
          <w:sz w:val="20"/>
        </w:rPr>
        <w:t>. Proof of the execution of any instrument by a Securityholder or his, her or its agent or proxy and proof of the holding by any Person of any of the Securities shall be sufficient if made in the following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fact and date of the execution by any Person of any such instrument may be proved (i) by the certificate of any notary public or other officer in any jurisdiction who, by the laws thereof, has power to take acknowledgments or proof of deeds to be recorded within such jurisdiction, that the Person who signed such instrument did acknowledge before such notary public or other officer the execution thereof, or (ii) by the affidavit of a witness of such execution sworn to before any such notary or other officer. Where such execution is by a Person acting in other than his or her individual capacity, such certificate or affidavit shall also constitute sufficient proof of his or her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ownership of Securities of any series shall be proved by the Register of such Securities or by a certificate of the Registrar for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record of any Holders’ meeting shall be proved in the manner provided in Section 9.06.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may require such additional proof of any matter referred to in this Section 8.02 as it shall deem appropriate or necessary, so long as the request is a reasonable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Company shall solicit from the Holders of Securities of any series any action, the Company may, at its option fix in advance a record date for the determination of Holders of Securities entitled to take such action, but the Company shall have no obligation to do so. Any such record date shall be fixed at the Company’s discretion. If such a record date is fixed, such action may be sought or given before or after the record date, but only the Holders of Securities of record at the close of business on such record date shall be deemed to be Holders of Securities for the purpose of determining whether Holders of the requisite proportion of Outstanding Securities of such series have authorized or agreed or consented to such action, and for that purpose the Outstanding Securities of such series shall be computed as of such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            </w:t>
      </w:r>
      <w:r>
        <w:rPr>
          <w:rFonts w:ascii="Times New Roman;Times;Serif" w:hAnsi="Times New Roman;Times;Serif"/>
          <w:b w:val="false"/>
          <w:i w:val="false"/>
          <w:caps w:val="false"/>
          <w:smallCaps w:val="false"/>
          <w:sz w:val="20"/>
          <w:u w:val="single"/>
        </w:rPr>
        <w:t>Persons Deemed Owners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the Trustee or any of their agents shall treat the Person in whose name any Security is registered as the owner of such Security for the purpose of receiving payment of principal of and premium, if any, and (subject to Section 3.08) interest, if any, on, such Security and for all other purposes whatsoever, whether or not such Security be overdue, and neither the Company, the Trustee nor any of their agents shall be affected by notice to the contrary. All payments made to any Holder, or upon his, her or its order, shall be valid, and, to the extent of the sum or sums paid, effectual to satisfy and discharge the liability for moneys payable upon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None of the Company, the Trustee or any of their agents will have any responsibility or liability for any aspect of the records relating to or payments made on account of beneficial ownership interests in a Global Security or for maintaining, supervising or reviewing any records relating to such beneficial ownership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            </w:t>
      </w:r>
      <w:r>
        <w:rPr>
          <w:rFonts w:ascii="Times New Roman;Times;Serif" w:hAnsi="Times New Roman;Times;Serif"/>
          <w:b w:val="false"/>
          <w:i w:val="false"/>
          <w:caps w:val="false"/>
          <w:smallCaps w:val="false"/>
          <w:sz w:val="20"/>
          <w:u w:val="single"/>
        </w:rPr>
        <w:t>Effect of Consents</w:t>
      </w:r>
      <w:r>
        <w:rPr>
          <w:rFonts w:ascii="Times New Roman;Times;Serif" w:hAnsi="Times New Roman;Times;Serif"/>
          <w:b w:val="false"/>
          <w:i w:val="false"/>
          <w:caps w:val="false"/>
          <w:smallCaps w:val="false"/>
          <w:sz w:val="20"/>
        </w:rPr>
        <w:t>. After an amendment, supplement, waiver or other action becomes effective as to any series of Securities, a consent to it by a Holder of such series of Securities is a continuing consent conclusive and binding upon such Holder and every subsequent Holder of the same Securities or portion thereof, and of any Security issued upon the transfer thereof or in exchange therefor or in place thereof, even if notation of the consent is not made on any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SECURITYHOLDERS’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            </w:t>
      </w:r>
      <w:r>
        <w:rPr>
          <w:rFonts w:ascii="Times New Roman;Times;Serif" w:hAnsi="Times New Roman;Times;Serif"/>
          <w:b w:val="false"/>
          <w:i w:val="false"/>
          <w:caps w:val="false"/>
          <w:smallCaps w:val="false"/>
          <w:sz w:val="20"/>
          <w:u w:val="single"/>
        </w:rPr>
        <w:t>Purposes of Meetings</w:t>
      </w:r>
      <w:r>
        <w:rPr>
          <w:rFonts w:ascii="Times New Roman;Times;Serif" w:hAnsi="Times New Roman;Times;Serif"/>
          <w:b w:val="false"/>
          <w:i w:val="false"/>
          <w:caps w:val="false"/>
          <w:smallCaps w:val="false"/>
          <w:sz w:val="20"/>
        </w:rPr>
        <w:t>. A meeting of Securityholders of any or all series may be called at any time and from time to time pursuant to the provisions of this Article IX for any of the following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give any notice to the Company or to the Trustee, or to give any directions to the Trustee, or to consent to the waiving of any Default or Event of Default hereunder and its consequences, or to take any other action authorized to be taken by Securityholders pursuant to any of the provisions of Article VIII;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remove the Trustee and nominate a successor trustee pursuant to the provisions of Article XI;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consent to the execution of an Indenture or of indentures supplemental hereto pursuant to the provisions of Section 14.02;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take any other action authorized to be taken by or on behalf of the Holders of any specified aggregate principal amount of the Securities of any one or more or all series, as the case may be, under any other provision of this Indenture or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            </w:t>
      </w:r>
      <w:r>
        <w:rPr>
          <w:rFonts w:ascii="Times New Roman;Times;Serif" w:hAnsi="Times New Roman;Times;Serif"/>
          <w:b w:val="false"/>
          <w:i w:val="false"/>
          <w:caps w:val="false"/>
          <w:smallCaps w:val="false"/>
          <w:sz w:val="20"/>
          <w:u w:val="single"/>
        </w:rPr>
        <w:t>Call of Meetings by Trustee</w:t>
      </w:r>
      <w:r>
        <w:rPr>
          <w:rFonts w:ascii="Times New Roman;Times;Serif" w:hAnsi="Times New Roman;Times;Serif"/>
          <w:b w:val="false"/>
          <w:i w:val="false"/>
          <w:caps w:val="false"/>
          <w:smallCaps w:val="false"/>
          <w:sz w:val="20"/>
        </w:rPr>
        <w:t>. The Trustee may at any time call a meeting of all Securityholders of any or all series that may be affected by the action proposed to be taken, to take any action specified in Section 9.01, to be held at such time and at such place as the Trustee shall determine. Notice of every meeting of the Securityholders of a series, setting forth the time and the place of such meeting and in general terms the action proposed to be taken at such meeting, shall be mailed at the expense of the Company to Holders of Securities of such series at their addresses as they shall appear on the Register of the Company. Such notice shall be mailed not less than 20 nor more than 90 days prior to the date fixed for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            </w:t>
      </w:r>
      <w:r>
        <w:rPr>
          <w:rFonts w:ascii="Times New Roman;Times;Serif" w:hAnsi="Times New Roman;Times;Serif"/>
          <w:b w:val="false"/>
          <w:i w:val="false"/>
          <w:caps w:val="false"/>
          <w:smallCaps w:val="false"/>
          <w:sz w:val="20"/>
          <w:u w:val="single"/>
        </w:rPr>
        <w:t>Call of Meetings by Company or Securityholders</w:t>
      </w:r>
      <w:r>
        <w:rPr>
          <w:rFonts w:ascii="Times New Roman;Times;Serif" w:hAnsi="Times New Roman;Times;Serif"/>
          <w:b w:val="false"/>
          <w:i w:val="false"/>
          <w:caps w:val="false"/>
          <w:smallCaps w:val="false"/>
          <w:sz w:val="20"/>
        </w:rPr>
        <w:t>. In case at any time the Company or the Holders of at least 10% in aggregate principal amount of the Securities of any or all series then Outstanding that may be affected by the action proposed to be taken, shall have requested the Trustee to call a meeting of Securityholders of such series, by written request setting forth in reasonable detail the action proposed to be taken at the meeting, and the Trustee shall not have mailed the notice of such meeting within 20 days after receipt of such request, then the Company or such Securityholders may determine the time and the place for such meeting and may call such meeting to take any action authorized in Section 9.01, by mailing notice thereof as provided in Section 9.02.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            </w:t>
      </w:r>
      <w:r>
        <w:rPr>
          <w:rFonts w:ascii="Times New Roman;Times;Serif" w:hAnsi="Times New Roman;Times;Serif"/>
          <w:b w:val="false"/>
          <w:i w:val="false"/>
          <w:caps w:val="false"/>
          <w:smallCaps w:val="false"/>
          <w:sz w:val="20"/>
          <w:u w:val="single"/>
        </w:rPr>
        <w:t>Qualifications for Voting</w:t>
      </w:r>
      <w:r>
        <w:rPr>
          <w:rFonts w:ascii="Times New Roman;Times;Serif" w:hAnsi="Times New Roman;Times;Serif"/>
          <w:b w:val="false"/>
          <w:i w:val="false"/>
          <w:caps w:val="false"/>
          <w:smallCaps w:val="false"/>
          <w:sz w:val="20"/>
        </w:rPr>
        <w:t>. To be entitled to vote at any meeting of Securityholders, a Person shall (a) be a Holder of one or more Securities affected by the action proposed to be taken at the meeting or (b) be a Person appointed by an instrument in writing as proxy by a Holder of one or more such Securities. The only Persons who shall be entitled to be present or to speak at any meeting of Securityholders shall be the Persons entitled to vote at such meeting and their counsel and any representatives of the Trustee and its counsel and any representatives of the Company and its counsel. Unless otherwise expressly provided pursuant to Section 3.01 with respect to the Securities of any series, any vote, consent, waiver or other action given or taken by the Holders of any series of Securities at a meeting shall be given or taken, as the case may be, by the Holders of such series of Securities as a separate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            </w:t>
      </w:r>
      <w:r>
        <w:rPr>
          <w:rFonts w:ascii="Times New Roman;Times;Serif" w:hAnsi="Times New Roman;Times;Serif"/>
          <w:b w:val="false"/>
          <w:i w:val="false"/>
          <w:caps w:val="false"/>
          <w:smallCaps w:val="false"/>
          <w:sz w:val="20"/>
          <w:u w:val="single"/>
        </w:rPr>
        <w:t>Regulation of Meetings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other provisions of this Indenture, the Trustee may make such reasonable regulations as it may deem advisable for any meeting of Securityholders,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shall, by an instrument in writing, appoint a temporary chairman of the meeting, unless the meeting shall have been called by the Company or by Securityholders as provided in Section 9.03, in which case the Company or the Securityholders calling the meeting, as the case may be, shall in like manner appoint a temporary chair. A permanent chairman and a permanent secretary of the meeting shall be elected by majority vote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any meeting of Securityholders of a series, each Securityholder of such series or such Securityholder’s proxy shall be entitled to one vote for each $1,000 principal amount of Securities of such series Outstanding held or represented by him; provided, however, that no vote shall be cast or counted at any meeting in respect of any Security challenged as not Outstanding and ruled by the chairman of the meeting to be not Outstanding. If the Securities of any series are issuable in minimum denominations of less than $1,000, then a Holder of such a Security in a principal amount of less than $1,000 shall be entitled to a fraction of one vote which is equal to the fraction that the principal amount of such Security bears to $1,000. The chairman of the meeting shall have no right to vote other than by virtue of Securities of such series held by him or her or instruments in writing as aforesaid duly designating him or her as the Person to vote on behalf of other Securityholders. At any meeting of the Securityholders of any series duly called pursuant to the provisions of Section 9.02 or 9.03, the presence of Persons holding or representing Securities of such series in an aggregate principal amount sufficient to take action as it concerns the Securities of such series upon the business for the transaction of which such meeting was called shall be necessary to constitute a quorum, and any such meeting may be adjourned from time to time by a majority of those present, whether or not constituting a quorum, and the meeting may be held as so adjourned without further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            </w:t>
      </w:r>
      <w:r>
        <w:rPr>
          <w:rFonts w:ascii="Times New Roman;Times;Serif" w:hAnsi="Times New Roman;Times;Serif"/>
          <w:b w:val="false"/>
          <w:i w:val="false"/>
          <w:caps w:val="false"/>
          <w:smallCaps w:val="false"/>
          <w:sz w:val="20"/>
          <w:u w:val="single"/>
        </w:rPr>
        <w:t>Voting</w:t>
      </w:r>
      <w:r>
        <w:rPr>
          <w:rFonts w:ascii="Times New Roman;Times;Serif" w:hAnsi="Times New Roman;Times;Serif"/>
          <w:b w:val="false"/>
          <w:i w:val="false"/>
          <w:caps w:val="false"/>
          <w:smallCaps w:val="false"/>
          <w:sz w:val="20"/>
        </w:rPr>
        <w:t>. The vote upon any resolution submitted to any meeting of Securityholders of a series shall be by written ballots on which shall be subscribed the signatures of the Holders of Securities of such series or of their representatives by proxy and the principal amounts of the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Securityholders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9.02. The record shall show the principal amounts of the Securities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record so signed and verified shall be conclusive evidence of the matters therein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9.07            </w:t>
      </w:r>
      <w:r>
        <w:rPr>
          <w:rFonts w:ascii="Times New Roman;Times;Serif" w:hAnsi="Times New Roman;Times;Serif"/>
          <w:b w:val="false"/>
          <w:i w:val="false"/>
          <w:caps w:val="false"/>
          <w:smallCaps w:val="false"/>
          <w:sz w:val="20"/>
          <w:u w:val="single"/>
        </w:rPr>
        <w:t>No Delay of Rights by Meeting</w:t>
      </w:r>
      <w:r>
        <w:rPr>
          <w:rFonts w:ascii="Times New Roman;Times;Serif" w:hAnsi="Times New Roman;Times;Serif"/>
          <w:b w:val="false"/>
          <w:i w:val="false"/>
          <w:caps w:val="false"/>
          <w:smallCaps w:val="false"/>
          <w:sz w:val="20"/>
        </w:rPr>
        <w:t>. Nothing contained in this Article IX shall be deemed or construed to authorize or permit, by reason of any call of a meeting of Securityholders of any series or any rights expressly or impliedly conferred hereunder to make such call, any hindrance or delay in the exercise of any right or rights conferred upon or reserved to the Trustee or to the Securityholders of such series under any of the provisions of this Indenture or of the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REPORTS BY THE COMPANY AND THE TRUSTEE AND</w:t>
        <w:br/>
        <w:t>SECURITYHOLDERS’ LISTS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          </w:t>
      </w:r>
      <w:r>
        <w:rPr>
          <w:rFonts w:ascii="Times New Roman;Times;Serif" w:hAnsi="Times New Roman;Times;Serif"/>
          <w:b w:val="false"/>
          <w:i w:val="false"/>
          <w:caps w:val="false"/>
          <w:smallCaps w:val="false"/>
          <w:sz w:val="20"/>
          <w:u w:val="single"/>
        </w:rPr>
        <w:t>Reports by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 long as any Securities are outstanding, the Trustee shall transmit to Holders such reports concerning the Trustee and its actions under this Indenture as may be required pursuant to the Trust Indenture Act at the times and in the manner provided therein. If required by Section 313(a) of the Trust Indenture Act, the Trustee shall, within 60 days after each anniversary following the date of this Indenture deliver to Holders a brief report which complies with the provisions of such Section 313(a).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shall, at the time of the transmission to the Holders of Securities of any report pursuant to the provisions of this Section 10.01, file a copy of such report with each stock exchange upon which the Securities are listed, if any, and also with the SEC in respect of a Security listed and registered on a national securities exchange, if any. The Company agrees to notify the Trustee when, as and if the Securities become listed on any stock exchange or any delisting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will reimburse the Trustee for all expenses incurred in the preparation and transmission of any report pursuant to the provisions of this Section 10.01 and of Section 10.02.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          </w:t>
      </w:r>
      <w:r>
        <w:rPr>
          <w:rFonts w:ascii="Times New Roman;Times;Serif" w:hAnsi="Times New Roman;Times;Serif"/>
          <w:b w:val="false"/>
          <w:i w:val="false"/>
          <w:caps w:val="false"/>
          <w:smallCaps w:val="false"/>
          <w:sz w:val="20"/>
          <w:u w:val="single"/>
        </w:rPr>
        <w:t>Reports by the Company</w:t>
      </w:r>
      <w:r>
        <w:rPr>
          <w:rFonts w:ascii="Times New Roman;Times;Serif" w:hAnsi="Times New Roman;Times;Serif"/>
          <w:b w:val="false"/>
          <w:i w:val="false"/>
          <w:caps w:val="false"/>
          <w:smallCaps w:val="false"/>
          <w:sz w:val="20"/>
        </w:rPr>
        <w:t>. The Company shall file with the Trustee and the SEC, and transmit to Holders, such information, documents and other reports, and such summaries thereof, as may be required pursuant to the Trust Indenture Act at the times and in the manner provided in the Trust Indenture Act; provided that, unless available on EDGAR, any such information, documents or reports required to be filed with the SEC pursuant to Section 13 or 15(d) of the Exchange Act shall be filed with the Trustee within 30 days after the same is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such reports, information and documents to the Trustee is for informational purposes only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rely exclusively on Officer’s Certificates). The Trustee shall not be obligated to monitor or confirm, on a continuing basis or otherwise, the Company’s compliance with the covenants under this Indenture or with respect to any reports or other documents filed with the SEC or posted on the Company’s website pursuant to the Indenture, or determine whether any reports have been filed or posted.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          </w:t>
      </w:r>
      <w:r>
        <w:rPr>
          <w:rFonts w:ascii="Times New Roman;Times;Serif" w:hAnsi="Times New Roman;Times;Serif"/>
          <w:b w:val="false"/>
          <w:i w:val="false"/>
          <w:caps w:val="false"/>
          <w:smallCaps w:val="false"/>
          <w:sz w:val="20"/>
          <w:u w:val="single"/>
        </w:rPr>
        <w:t>Securityholders’ Lists</w:t>
      </w:r>
      <w:r>
        <w:rPr>
          <w:rFonts w:ascii="Times New Roman;Times;Serif" w:hAnsi="Times New Roman;Times;Serif"/>
          <w:b w:val="false"/>
          <w:i w:val="false"/>
          <w:caps w:val="false"/>
          <w:smallCaps w:val="false"/>
          <w:sz w:val="20"/>
        </w:rPr>
        <w:t>. The Company covenants and agrees that it will furnish or cause to be furnished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semi-annually, within 5 Business Days after each Record Date, but in any event not less frequently than semi-annually, a list in such form as the Trustee may reasonably require of the names and addresses of the Holders of Securities to which such Record Date applies, as of such Record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such other times as the Trustee may request in writing, within 30 days after receipt by the Company of any such request, a list of similar form and content as of a date not more than 15 days prior to the time such list is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so long as the Trustee shall be the Registrar, such lists shall not be required to be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CONCERNING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          </w:t>
      </w:r>
      <w:r>
        <w:rPr>
          <w:rFonts w:ascii="Times New Roman;Times;Serif" w:hAnsi="Times New Roman;Times;Serif"/>
          <w:b w:val="false"/>
          <w:i w:val="false"/>
          <w:caps w:val="false"/>
          <w:smallCaps w:val="false"/>
          <w:sz w:val="20"/>
          <w:u w:val="single"/>
        </w:rPr>
        <w:t>Rights of Trustees; Compensation and Indemnity</w:t>
      </w:r>
      <w:r>
        <w:rPr>
          <w:rFonts w:ascii="Times New Roman;Times;Serif" w:hAnsi="Times New Roman;Times;Serif"/>
          <w:b w:val="false"/>
          <w:i w:val="false"/>
          <w:caps w:val="false"/>
          <w:smallCaps w:val="false"/>
          <w:sz w:val="20"/>
        </w:rPr>
        <w:t>. The Trustee accepts the trusts created by this Indenture upon the terms and conditions hereof, including the following, to all of which the parties hereto and the Holders from time to time of the Securities agree: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shall be entitled to such compensation as the Company and the Trustee shall from time to time agree in writing for all services rendered by it hereunder (including in any agent capacity in which it acts). The compensation of the Trustee shall not be limited by any provision of law in regard to the compensation of a trustee of an express trust. The Company shall reimburse the Trustee promptly upon its request for all reasonable and documented out-of-pocket expenses, disbursements and advances incurred or made by the Trustee (including the reasonable fees and reasonable and documented expenses and disbursements of its agents and counsel), except any such expense, disbursement or advance as may be attributable to its own gross negligence or willful misconduct as determined by a final non-appealable order of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agrees to indemnify each of the Trustee, any predecessor Trustee and their officers, employees, directors and agents hereunder for, and to hold them harmless against, any and all loss, liability, damage, claim, or expense incurred without its own gross negligence or willful misconduct as determined by a final non-appealable order of a court of competent jurisdiction, arising out of or in connection with this Indenture and the acceptance or administration of the trust or trusts hereunder and the performance of its duties (including in any agent capacity in which it acts)(including enforcement of this Section), as well as the reasonable and documented costs and expenses of defending itself against any claim or liability in connection with the exercise or performance of any of its powers or duties hereunder, except those caused by its own gross negligence or willful misconduct as determined by a final non-appealable order of a court of competent jurisdiction. The Trustee shall notify the Company promptly of any claim for which it may seek indemnity. The Company shall defend the claim and the Trustee shall cooperate in the defense. The Trustee may have one counsel of its selection and the Company shall pay the reasonable and documented fees and expenses of such counsel. The Company need not pay for any settlement made without its consent, which consent shall not be unreasonably withheld.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security for the performance of the obligations of the Company under this Section 11.01(a), the Trustee shall have a lien upon all property and funds held or collected by the Trustee as such, except funds held in trust by the Trustee to pay principal of, premium and interest on any Securities. The Trustee’s right to receive payment of any amounts due under this ‎Section 11.01(a) shall not be subordinate to any other liability or indebtedness of the Company. The indemnity under this ‎Section 11.01(a) is payable upon demand by the Trustee. Notwithstanding any provisions of this Indenture to the contrary, the obligations of the Company to compensate and indemnify the Trustee under this Section 11.01(a) shall survive the resignation or removal of the Trustee, the termination of this Indenture and any satisfaction and discharge under Article XII. When the Trustee incurs fees or expenses or renders services after an Event of Default specified in clause (e) or (f) of Section 7.01 occurs, the expenses and compensation for the services are intended to constitute expenses of administration under any applicable federal or state bankruptcy, insolvency or similar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may execute any of the trusts or powers hereof and perform any duty hereunder either directly or by its agents and attorneys and shall not be responsible for any misconduct or negligence on the part of any agent or attorney appointed with due care by 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not be responsible in any manner whatsoever for the correctness of the recitals herein or in the Securities (except its certificates of authentication thereon) contained, all of which are made solely by the Company; and the Trustee shall not be responsible or accountable in any manner whatsoever for or with respect to the validity or execution or sufficiency of this Indenture or of the Securities (except its certificates of authentication thereon), and the Trustee makes no representation with respect thereto,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The Trustee shall not be accountable for the use or application by the Company of any Securities, or the proceeds of any Securities, authenticated and delivered by the Trustee in conformity with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of its selection, and advice of counsel shall be full and complete authorization and protection in respect of any action taken or suffered by the Trustee hereunder in good faith and in accordance with such advice of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may rely upon the certificate of the Secretary or one of the Assistant Secretaries of the Company as to the adoption of any Board Resolution or resolution of the stockholders of the Company, and any request, direction, order or demand of the Company mentioned herein shall be sufficiently evidenced by, and whenever in the administration of this Indenture the Trustee shall deem it desirable that a matter be proved or established prior to taking, suffering or omitting any action hereunder, the Trustee may rely upon, an Officer’s Certificate of the Company (unless other evidence in respect thereof be herein specifically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or any agent of the Trustee, in its individual or any other capacity, may become the owner or pledgee of Securities and, subject to Sections 310(b) and 311 of the Trust Indenture Act, may otherwise deal with the Company with the same rights it would have had if it were not the Trustee or such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action taken by the Trustee pursuant to any provision hereof at the request or with the consent of any Person who at the time is the Holder of any Security shall be conclusive and binding in respect of such Security upon all future Holders thereof or of any Security or Securities which may be issued for or in lieu thereof in whole or in part, whether or not such Security shall have noted thereon the fact that such request or consent had been made or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may conclusively rely and shall be protected in acting or refraining from acting upon any resolution, certificate, statement, instrument, opinion, report, notice, request, consent, order, direction, judgment, approval, bond, debenture or other paper or document reasonably believed by it to be genuine and to have been signed or presented by the proper party or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Trustee shall not be under any obligation to exercise any of the rights or powers vested in it by this Indenture at the request, order or direction of any of the Holders of the Securities, pursuant to any provision of this Indenture, unless one or more of the Holders of the Securities shall have offered, and if requested, provided to the Trustee security or indemnity satisfactory to the Trustee against the costs, expenses and liabilities which may be incurred by it therein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Trustee shall not be liable for any action taken or omitted by it in good faith and believed by it to be authorized or within its discretion or within the rights or powers conferred upon it by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Trustee shall not be deemed to have knowledge or notice of any Default or Event of Default unless a Responsible Officer of the Trustee has actual knowledge thereof or unless the Company or Holders of not less than 25% of the Outstanding Securities notify the Trustee thereof in writing at the Corporate Trust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may, but shall not be required to, make further inquiry or investigation into such facts or matters as it may see fit at the expense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rights, privileges, protections, immunities and benefits given to the Trustee, including, without limitation, its right to be indemnified, are extended to, and shall be enforceable by, the Trustee in each of its capacities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In no event shall the Trustee be responsible or liable for special, indirect, punitive, incidental or consequential loss or damage of any kind whatsoever (including, but not limited to, loss of profit, goodwill or opportunity), whether or not foreseeable, even if the Trustee has been advised of the possibility of such loss or damage and regardless of the form of action. The provisions of this Section shall survive the termination or discharge of this Indenture and the resignation or removal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The permissive right of the Trustee to take or refrain from taking action hereunder shall not be construed as a duty.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Trustee is not required to give any bond or surety with respect to the performance of its duties or the exercise of its powers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Trustee may refrain from taking any action in any jurisdiction if taking such action in that jurisdiction would, in the reasonable opinion of the Trustee based on written legal advice received from qualified legal counsel in the relevant jurisdiction, be contrary to any law of that jurisdiction or, to the extent applicable, the State of New York. Furthermore, the Trustee may refrain from taking such action if, in the reasonable opinion of the Trustee based on such legal advice, it would otherwise render the Trustee liable to any person in that jurisdiction or the State of New York and there has not been offered to the Trustee pre-funding, security and/or indemnity satisfactory to it against the liabilities to be incurred therein or thereby, or the Trustee would not have the legal capacity to take such action in that jurisdiction by virtue of applicable law in that jurisdiction or the State of New York or by virtue of a written order of any court or other competent authority in that jurisdiction that the Trustee does not have such legal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          </w:t>
      </w:r>
      <w:r>
        <w:rPr>
          <w:rFonts w:ascii="Times New Roman;Times;Serif" w:hAnsi="Times New Roman;Times;Serif"/>
          <w:b w:val="false"/>
          <w:i w:val="false"/>
          <w:caps w:val="false"/>
          <w:smallCaps w:val="false"/>
          <w:sz w:val="20"/>
          <w:u w:val="single"/>
        </w:rPr>
        <w:t>Duties of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one or more of the Events of Default specified in Section 7.01 with respect to the Securities of any series shall have happened, then, during the continuance thereof, the Trustee shall, with respect to such Securities, exercise such of the rights and powers vested in it by this Indenture, and shall use the same degree of care and skill in their exercise, as a prudent person would exercise or use under the circumstances in the conduct of such person’s own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None of the provisions of this Indenture shall be construed as relieving the Trustee from liability for its own negligent action, negligent failure to act, or its own willful misconduct, except that, anything in this Indenture contained to the contrary notwithstanding,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unless and until an Event of Default specified in Section 7.01 with respect to the Securities of any series shall have happened which at the time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5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undertakes to perform such duties and only such duties with respect to the Securities of that series as are specifically set out in this Indenture, and no implied covenants or obligations shall be read into this Indenture against the Trustee, whose duties and obligations shall be determined solely by the express provisions of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5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may conclusively rely, as to the truth of the statements and the correctness of the opinions expressed therein, in the absence of gross negligence or willful misconduct on the part of the Trustee, upon certificates and opinions furnished to it pursuant to the express provisions of this Indenture; but in the case of any such certificates or opinions which, by the provisions of this Indenture,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statements, opinions or conclusions stated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not be liable to any Holder of Securities or to any other Person for any error of judgment made in good faith by a Responsible Officer or Officers of the Trustee, unless it shall be proved that the Trustee was negligent in ascertaining the pertinent facts;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not be liable to any Holder of Securities or to any other Person with respect to any action taken or omitted to be taken by it in good faith, in accordance with the direction of Securityholders given as provided in Section 7.06, relating to the time, method and place of conducting any proceeding for any remedy available to it or exercising any trust or power conferred upon it by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None of the provisions of this Indenture shall require the Trustee to expend or risk its own funds or otherwise to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Whether or not therein expressly so provided, every provision of this Indenture relating to the conduct or affecting the liability of or affording protection to the Trustee shall be subject to the provisions of this Section 11.02.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11.03            </w:t>
      </w:r>
      <w:r>
        <w:rPr>
          <w:rFonts w:ascii="Times New Roman;Times;Serif" w:hAnsi="Times New Roman;Times;Serif"/>
          <w:b w:val="false"/>
          <w:i w:val="false"/>
          <w:caps w:val="false"/>
          <w:smallCaps w:val="false"/>
          <w:sz w:val="20"/>
          <w:u w:val="single"/>
        </w:rPr>
        <w:t>Notice of Defaults</w:t>
      </w:r>
      <w:r>
        <w:rPr>
          <w:rFonts w:ascii="Times New Roman;Times;Serif" w:hAnsi="Times New Roman;Times;Serif"/>
          <w:b w:val="false"/>
          <w:i w:val="false"/>
          <w:caps w:val="false"/>
          <w:smallCaps w:val="false"/>
          <w:sz w:val="20"/>
        </w:rPr>
        <w:t>. Within the later of 90 days after the occurrence thereof, if known to the Trustee and promptly after obtaining knowledge thereof, the Trustee shall give to the Holders of the Securities of a series notice of each Default or Event of Default with respect to the Securities of such series known to the Trustee, by transmitting such notice to Holders at their addresses as the same shall then appear on the Register of the Company, unless such Default shall have been cured or waived before the giving of such notice (the term “Default” being hereby defined to be the events specified in Section 7.01, which are, or after notice or lapse of time or both would become, Events of Default as defined in said Section). Except in the case of a Default or Event of Default in payment of the principal of, premium, if any, or interest on any of the Securities of such series when and as the same shall become payable, or to make any sinking fund payment as to Securities of the same series, the Trustee shall be protected in withholding such notice, if and so long as a Responsible Officer or Responsible Officers of the Trustee in good faith determines that the withholding of such notice is in the interests of the Holders of the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11.04          </w:t>
      </w:r>
      <w:r>
        <w:rPr>
          <w:rFonts w:ascii="Times New Roman;Times;Serif" w:hAnsi="Times New Roman;Times;Serif"/>
          <w:b w:val="false"/>
          <w:i w:val="false"/>
          <w:caps w:val="false"/>
          <w:smallCaps w:val="false"/>
          <w:sz w:val="20"/>
          <w:u w:val="single"/>
        </w:rPr>
        <w:t>Eligibility; Disqualification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shall at all times satisfy the requirements of TIA Section 310(a). The Trustee shall have a combined capital and surplus of at least $50 million as set forth in its most recent published annual report of condition, and shall have a Corporate Trust Office. If at any time the Trustee shall cease to be eligible in accordance with the provisions of this Section 11.04, it shall resign immediately in the manner and with the effect hereinafter specified in this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shall comply with TIA Section 310(b); provided, however, that there shall be excluded from the operation of TIA Section 310(b)(i) any indenture or indentures under which other securities or certificates of interest or participation in other securities of the Company are outstanding if the requirements for such exclusion set forth in TIA Section 310(b)(i) are met. If the Trustee has or shall acquire a conflicting interest within the meaning of Section 310(b) of the Trust Indenture Act, the Trustee shall either eliminate such interest or resign, to the extent and in the manner provided by, and subject to the provisions of, the Trust Indenture Act and this Indenture. If Section 310(b) of the Trust Indenture Act is amended any time after the date of this Indenture to change the circumstances under which a Trustee shall be deemed to have a conflicting interest with respect to the Securities of any series or to change any of the definitions in connection therewith, this Section 11.04 shall be automatically amended to incorporate such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11.05          </w:t>
      </w:r>
      <w:r>
        <w:rPr>
          <w:rFonts w:ascii="Times New Roman;Times;Serif" w:hAnsi="Times New Roman;Times;Serif"/>
          <w:b w:val="false"/>
          <w:i w:val="false"/>
          <w:caps w:val="false"/>
          <w:smallCaps w:val="false"/>
          <w:sz w:val="20"/>
          <w:u w:val="single"/>
        </w:rPr>
        <w:t>Resignation and Notice; Removal</w:t>
      </w:r>
      <w:r>
        <w:rPr>
          <w:rFonts w:ascii="Times New Roman;Times;Serif" w:hAnsi="Times New Roman;Times;Serif"/>
          <w:b w:val="false"/>
          <w:i w:val="false"/>
          <w:caps w:val="false"/>
          <w:smallCaps w:val="false"/>
          <w:sz w:val="20"/>
        </w:rPr>
        <w:t>. The Trustee, or any successor to it hereafter appointed, may at any time resign and be discharged of the trusts hereby created with respect to any one or more or all series of Securities by giving to the Company notice in writing. Such resignation shall take effect upon the appointment of a successor Trustee and the acceptance of such appointment by such successor Trustee. Any Trustee hereunder may be removed with respect to any series of Securities at any time by the filing with such Trustee and the delivery to the Company of an instrument or instruments in writing signed by the Holders of a majority in principal amount of the Securities of such series then Outstanding, specifying such removal and the date when it shall become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Trustee shall fail to comply with the provisions of TIA Section 310(b) after written request therefor by the Company or by any Holder who has been a bona fide Holder of a Security for at least six months (or, if it is a shorter period, the period since the initial issuance of the Securities of such series),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Trustee shall cease to be eligible under Section 11.04 and shall fail to resign after written request therefor by the Company or by any Holder who has been a bona fide Holder of a Security for at least six months (or, if it is a shorter period, the period since the initial issuance of the Securities of such series),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in any such case, (i) the Company by written notice to the Trustee may remove the Trustee and appoint a successor Trustee with respect to all Securities, or (ii) subject to TIA Section 315(e), any Securityholder who has been a bona fide Holder of a Security for at least six months (or, if it is a shorter period, the period since the initial issuance of the Securities of such series) may, on behalf of himself and all others similarly situated, petition any court of competent jurisdiction for the removal of the Trustee with respect to all Securities and the appointment of a successor Trustee or Trustees.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may remove the Trustee with respect to Securities of any series without cause if the Company gives written notice to the Trustee of such proposed removal at least three months in advance of the proposed effective date of such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its resignation or removal, any Trustee shall be entitled to the payment of compensation for the services rendered hereunder by such Trustee and to the payment of all reasonable and documented expenses incurred hereunder and all moneys then due to it hereunder. The Trustee’s rights to indemnification provided in Section 11.01(a) shall survive its resignation or removal, the satisfaction and discharge of the Indenture and the termination of the Indenture for any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11.06            </w:t>
      </w:r>
      <w:r>
        <w:rPr>
          <w:rFonts w:ascii="Times New Roman;Times;Serif" w:hAnsi="Times New Roman;Times;Serif"/>
          <w:b w:val="false"/>
          <w:i w:val="false"/>
          <w:caps w:val="false"/>
          <w:smallCaps w:val="false"/>
          <w:sz w:val="20"/>
          <w:u w:val="single"/>
        </w:rPr>
        <w:t>Successor Trustee by Appointment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case at any time the Trustee shall resign, or shall be removed or if a vacancy exists in the office of the Trustee for any reason, with respect to Securities of any or all series, the Company shall promptly appoint a successor Trustee. However, if all or substantially all the assets of the Company shall be in the possession of one or more custodians or receivers lawfully appointed, or of trustees in bankruptcy or reorganization proceedings (including a trustee or trustees appointed under the provisions of the federal bankruptcy laws, as now or hereafter constituted), or of assignees for the benefit of creditors, such receivers, custodians, trustees or assignees, as the case may be, shall promptly appoint a successor Trustee with respect to the Securities of any or all series. Subject to the provisions of Sections 11.04 and 11.05, upon the appointment as aforesaid of a successor Trustee with respect to the Securities of any series, the Trustee with respect to the Securities of such series shall cease to be Trustee hereunder. After any such appointment other than by the Holders of Securities of any such series, the Person making such appointment shall forthwith cause notice thereof to be mailed to the Holders of Securities of such series at their addresses as the same shall then appear on the Register of the Company. Any failure of the Company to mail such notice, or any defect therein, shall not, however, in any way impair or affect the validity of such appointment.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Trustee with respect to the Securities of any series shall resign or be removed and a successor Trustee shall not have been appointed by the Company or, if any successor Trustee so appointed shall not have accepted its appointment within 30 days after such appointment shall have been made, the resigning Trustee at the expense of the Company may apply to any court of competent jurisdiction for the appointment of a successor Trustee. If in any other case a successor Trustee shall not be appointed pursuant to the foregoing provisions of this Section 11.06 within three months after such appointment might have been made hereunder, the Holder of any Security of the applicable series or any retiring Trustee at the expense of the Company may apply to any court of competent jurisdiction to appoint a successor Trustee. Such court may thereupon, in any such case, after such notice, if any, as such court may deem proper and prescribe, appoint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successor Trustee appointed hereunder with respect to the Securities of one or more series shall execute, acknowledge and deliver to its predecessor Trustee and to the Company, or to the receivers, trustees, assignees or court appointing it, as the case may be, an instrument accepting such appointment hereunder, and thereupon such successor Trustee, without any further act, deed or conveyance, shall become vested with all the authority, rights, powers, trusts, immunities, duties and obligations with respect to such series of such predecessor Trustee with like effect as if originally named as Trustee hereunder, and such predecessor Trustee, upon payment of its charges and disbursements then unpaid, shall thereupon become obligated to pay over, and such successor Trustee shall be entitled to receive, all moneys and properties held by such predecessor Trustee as Trustee hereunder with respect to the Securities of such series, subject nevertheless to its lien provided for in Section 11.01(a). Nevertheless, on the written request of the Company or of the successor Trustee or of the Holders of at least 10% in principal amount of the Securities of any such series then Outstanding, such predecessor Trustee, upon payment of its said charges and disbursements, shall execute and deliver an instrument transferring to such successor Trustee upon the trusts herein expressed all the rights, powers and trusts of such predecessor Trustee with respect to the Securities of such series and shall assign, transfer and deliver to the successor Trustee all moneys and properties held by such predecessor Trustee with respect to the Securities of such series, subject nevertheless to its lien provided for in Section 11.01(a); and, upon request of any such successor Trustee or the Company shall make, execute, acknowledge and deliver any and all instruments in writing for more fully and effectually vesting in and confirming to such successor Trustee all such authority, rights, powers, trusts, immunities, duties and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11.07          </w:t>
      </w:r>
      <w:r>
        <w:rPr>
          <w:rFonts w:ascii="Times New Roman;Times;Serif" w:hAnsi="Times New Roman;Times;Serif"/>
          <w:b w:val="false"/>
          <w:i w:val="false"/>
          <w:caps w:val="false"/>
          <w:smallCaps w:val="false"/>
          <w:sz w:val="20"/>
          <w:u w:val="single"/>
        </w:rPr>
        <w:t>Successor Trustee by Merger</w:t>
      </w:r>
      <w:r>
        <w:rPr>
          <w:rFonts w:ascii="Times New Roman;Times;Serif" w:hAnsi="Times New Roman;Times;Serif"/>
          <w:b w:val="false"/>
          <w:i w:val="false"/>
          <w:caps w:val="false"/>
          <w:smallCaps w:val="false"/>
          <w:sz w:val="20"/>
        </w:rPr>
        <w:t>. Any Person into which the Trustee or any successor to it in the trusts created by this Indenture shall be merged or converted, or any Person with which it or any successor to it shall be consolidated, or any Person resulting from any merger, conversion or consolidation to which the Trustee or any such successor to it shall be a party, or any Person to which the Trustee or any successor to it shall sell or otherwise transfer all or substantially all of the corporate trust business of the Trustee, shall be the successor Trustee under this Indenture without the execution or filing of any paper or any further act on the part of any of the parties hereto; provided that such Person shall be otherwise qualified and eligible under this Article. In case at the time such successor to the Trustee shall succeed to the trusts created by this Indenture with respect to one or more series of Securities, any of such Securities shall have been authenticated but not delivered by the Trustee then in office, any successor to such Trustee may adopt the certificate of authentication of any predecessor Trustee, and deliver such Securities so authenticated; and in case at that time any of the Securities shall not have been authenticated, any successor to the Trustee may authenticate such Securities either in the name of any predecessor hereunder or in the name of the successor Trustee; and in all such cases such certificates shall have the full force which it is anywhere in the Securities or in this Indenture provided that the certificate of the Trustee shall have; provided, however, that the right to adopt the certificate of authentication of any predecessor Trustee or authenticate Securities in the name of any predecessor Trustee shall apply only to its successor or successors by merger, conversion or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11.08          </w:t>
      </w:r>
      <w:r>
        <w:rPr>
          <w:rFonts w:ascii="Times New Roman;Times;Serif" w:hAnsi="Times New Roman;Times;Serif"/>
          <w:b w:val="false"/>
          <w:i w:val="false"/>
          <w:caps w:val="false"/>
          <w:smallCaps w:val="false"/>
          <w:sz w:val="20"/>
          <w:u w:val="single"/>
        </w:rPr>
        <w:t>Right to Rely on Officer’s Certificate and/or Opinion of Counsel.</w:t>
      </w:r>
      <w:r>
        <w:rPr>
          <w:rFonts w:ascii="Times New Roman;Times;Serif" w:hAnsi="Times New Roman;Times;Serif"/>
          <w:b w:val="false"/>
          <w:i w:val="false"/>
          <w:caps w:val="false"/>
          <w:smallCaps w:val="false"/>
          <w:sz w:val="20"/>
        </w:rPr>
        <w:t xml:space="preserve"> Whenever in the administration of the provisions of this Indenture the Trustee shall deem it necessary or desirable that a matter be proved or established prior to taking or suffering any action hereunder, such matter (unless other evidence in respect thereof be herein specifically prescribed) may, in the absence of gross negligence or willful misconduct on the part of the Trustee, be deemed to be conclusively proved and established by an Officer’s Certificate and/or Opinion of Counsel with respect thereto delivered to the Trustee, and such Officer’s Certificate and/or Opinion of Counsel, in the absence of gross negligence or willful misconduct on the part of the Trustee, shall be full warrant to the Trustee for any action taken, suffered or omitted by it under the provisions of this Indenture upon the faith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11.09          </w:t>
      </w:r>
      <w:r>
        <w:rPr>
          <w:rFonts w:ascii="Times New Roman;Times;Serif" w:hAnsi="Times New Roman;Times;Serif"/>
          <w:b w:val="false"/>
          <w:i w:val="false"/>
          <w:caps w:val="false"/>
          <w:smallCaps w:val="false"/>
          <w:sz w:val="20"/>
          <w:u w:val="single"/>
        </w:rPr>
        <w:t>Appointment of Authenticating Agent</w:t>
      </w:r>
      <w:r>
        <w:rPr>
          <w:rFonts w:ascii="Times New Roman;Times;Serif" w:hAnsi="Times New Roman;Times;Serif"/>
          <w:b w:val="false"/>
          <w:i w:val="false"/>
          <w:caps w:val="false"/>
          <w:smallCaps w:val="false"/>
          <w:sz w:val="20"/>
        </w:rPr>
        <w:t>. The Trustee may appoint an agent (the “Authenticating Agent”) acceptable to the Company to authenticate the Securities, and the Trustee shall give written notice of such appointment to all Holders of Securities of the series with respect to which such Authenticating Agent will serve. Unless limited by the terms of such appointment, any such Authenticating Agent may authenticate Securities whenever the Trustee may do so. Each reference in this Indenture to authentication by the Trustee includes authentication by the Authenticating Agent. Securities so authenticated shall be entitled to the benefits of this Indenture and shall be valid and obligatory for all purposes as if authenticated by the Trustee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Authenticating Agent shall at all times be a corporation organized and doing business and in good standing under the laws of the United States, any State thereof or the District of Columbia, authorized under such laws to act as Authenticating Agent, having a combined capital and surplus of not less than $50,000,000 and subject to supervision or examination by Federal or State authority. If such corporation publishes reports of condition at least annually, pursuant to law or to the requirements of said supervising or examining authority, then for the purposes of this Article XI, the combined capital and surplus of such corporation shall be deemed to be its combined capital and surplus as set forth in its most recent report of condition so published. If at any time an Authenticating Agent shall cease to be eligible in accordance with the provisions of this Article XI, it shall resign immediately in the manner and with the effect specified in this Article XI.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Article XI, without the execution or filing of any paper or any further act on the part of the Trustee or the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11.09, the Trustee may appoint a successor Authenticating Agent which shall be acceptable to the Company and shall give written notice of such appointment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11.09.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to pay to each Authenticating Agent from time to time reasonable compensation for its services under this Section 11.09.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11.10          </w:t>
      </w:r>
      <w:r>
        <w:rPr>
          <w:rFonts w:ascii="Times New Roman;Times;Serif" w:hAnsi="Times New Roman;Times;Serif"/>
          <w:b w:val="false"/>
          <w:i w:val="false"/>
          <w:caps w:val="false"/>
          <w:smallCaps w:val="false"/>
          <w:sz w:val="20"/>
          <w:u w:val="single"/>
        </w:rPr>
        <w:t>Communications by Securityholders with Other Securityholders</w:t>
      </w:r>
      <w:r>
        <w:rPr>
          <w:rFonts w:ascii="Times New Roman;Times;Serif" w:hAnsi="Times New Roman;Times;Serif"/>
          <w:b w:val="false"/>
          <w:i w:val="false"/>
          <w:caps w:val="false"/>
          <w:smallCaps w:val="false"/>
          <w:sz w:val="20"/>
        </w:rPr>
        <w:t>. Holders of Securities may communicate pursuant to Section 312(b) of the Trust Indenture Act with other Holders with respect to their rights under this Indenture or the Securities. The Company, the Trustee, the Registrar and anyone else shall have the protection of Section 312(c) of the Trust Indenture Act with respect to such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SATISFACTION AND DISCHARGE;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12.01            </w:t>
      </w:r>
      <w:r>
        <w:rPr>
          <w:rFonts w:ascii="Times New Roman;Times;Serif" w:hAnsi="Times New Roman;Times;Serif"/>
          <w:b w:val="false"/>
          <w:i w:val="false"/>
          <w:caps w:val="false"/>
          <w:smallCaps w:val="false"/>
          <w:sz w:val="20"/>
          <w:u w:val="single"/>
        </w:rPr>
        <w:t>Applicability of Article</w:t>
      </w:r>
      <w:r>
        <w:rPr>
          <w:rFonts w:ascii="Times New Roman;Times;Serif" w:hAnsi="Times New Roman;Times;Serif"/>
          <w:b w:val="false"/>
          <w:i w:val="false"/>
          <w:caps w:val="false"/>
          <w:smallCaps w:val="false"/>
          <w:sz w:val="20"/>
        </w:rPr>
        <w:t>. The provisions of this Article shall be applicable to the Securities of all series issued pursuant to this Indenture, except as otherwise specified pursuant to Section 3.01.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12.02            </w:t>
      </w:r>
      <w:r>
        <w:rPr>
          <w:rFonts w:ascii="Times New Roman;Times;Serif" w:hAnsi="Times New Roman;Times;Serif"/>
          <w:b w:val="false"/>
          <w:i w:val="false"/>
          <w:caps w:val="false"/>
          <w:smallCaps w:val="false"/>
          <w:sz w:val="20"/>
          <w:u w:val="single"/>
        </w:rPr>
        <w:t>Satisfaction and Discharge of Indenture</w:t>
      </w:r>
      <w:r>
        <w:rPr>
          <w:rFonts w:ascii="Times New Roman;Times;Serif" w:hAnsi="Times New Roman;Times;Serif"/>
          <w:b w:val="false"/>
          <w:i w:val="false"/>
          <w:caps w:val="false"/>
          <w:smallCaps w:val="false"/>
          <w:sz w:val="20"/>
        </w:rPr>
        <w:t>. This Indenture, with respect to the Securities of any series (if all series issued under this Indenture are not to be affected), shall, upon Company Order, cease to be of further effect (except as to any surviving rights of registration of transfer or exchange of such Securities herein expressly provided for and the rights of the Holders of the Securities of such series to receive, the principal of and premium, if any, and interest on such Securities as and when the same shall become due and payable and except as otherwise provided in the last paragraph of this Section 12.02), and the Trustee, at the expense of the Company, shall execute such instruments reasonably requested by the Company acknowledging satisfaction and discharge of this Indenture with respect to the Securities of such series, when,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Securities of such series theretofore authenticated and delivered (other than (A) Securities that have been destroyed, lost or stolen and that have been replaced or paid as provided in Section 3.07 and (B) Securities for whose payment money has theretofore been deposited in trust or segregated and held in trust by the Company and thereafter repaid to the Company or discharged from such trust, as provided in Section 6.03(e)) have been delivered to the Trustee for cancellation;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Securities of such series not theretofore delivered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5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have become due and payable,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5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will become due and payable at their Stated Maturity within one year,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5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redeemable at the option of the Company (including, without limitation, by operation of any mandatory sinking fund), are to be called for redemption within one year under arrangements satisfactory to the Trustee for the giving of notice of redemption by the Trustee in the name, and at the expense,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Company, in the case of (A), (B) or (C) above, has irrevocably deposited or caused to be deposited with the Trustee funds in trust for the purpose an amount in cash in the Currency in which such Securities are payable (subject to Section 12.08) sufficient to pay and discharge the entire indebtedness on such Securities for principal and premium, if any, and interest to the date of such deposit (in the case of Securities that have become due and payable) or to the Stated Maturity thereof or, in the case of Securities of such series which are to be called for redemption as contemplated by (C) above, the applicable Redemption Date, as the case may be, and including any mandatory sinking fund payments as and when the same shall become due and payable; provided, however, that, if a Default of the nature described in clauses (e) or (f) of Section 7.01 shall have occurred at any time during the period ending on and including the date of such deposit or if the Trustee or any Paying Agent is required to return the monies then on deposit with or held by the Trustee or such Paying Agent to the Company or to a trustee in bankruptcy, receiver, conservator or other similar Person, or the Trustee or any Paying Agent is not permitted to apply any such funds to pay the principal of and premium, if any, and interest on the Securities of such series (including to make sinking fund payments) as and when the same shall become due and payable, the obligations of the Company under this Indenture with respect to such Securities shall not be deemed terminated or discharged;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paid or caused to be paid all other sums payable hereunder by the Company with respect to the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delivered to the Trustee an Officer’s Certificate and an Opinion of Counsel each stating that all conditions precedent herein provided for relating to the satisfaction and discharge of this Indenture with respect to such series have been complied with;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delivered irrevocable instructions to the Trustee under this Indenture to apply the deposited money toward the payment of the Securities of such series at the Stated Maturity or Redemption Date,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satisfaction and discharge of this Indenture with respect to the Securities of any series, the obligations of the Company to the Trustee under Section 11.01 and in the case of satisfaction and discharge under 12.02, the provisions of Sections 3.04, 3.05, 3.06, 3.07, 3.10, 6.02 and 6.03 and this Article XII, and, if the Securities of such series are to be redeemed prior to their Stated Maturity (including, without limitation, pursuant to a mandatory sinking fund), the provisions of Article IV hereof, and, if the Securities of such series are convertible into or exchangeable for other securities or property, the rights of the Holders of such Securities to convert or exchange, and the obligations of the Company to convert or exchange, such Securities into other securities or property, and, if money shall have been deposited with the Trustee pursuant to clause (a) of this Section, the obligations of the Trustee under Section 12.07 and Section 6.03(e) shall survive such 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12.03          </w:t>
      </w:r>
      <w:r>
        <w:rPr>
          <w:rFonts w:ascii="Times New Roman;Times;Serif" w:hAnsi="Times New Roman;Times;Serif"/>
          <w:b w:val="false"/>
          <w:i w:val="false"/>
          <w:caps w:val="false"/>
          <w:smallCaps w:val="false"/>
          <w:sz w:val="20"/>
          <w:u w:val="single"/>
        </w:rPr>
        <w:t>Defeasance and Covenant Defeasance upon Deposit of Moneys or U.S. Government Obligations</w:t>
      </w:r>
      <w:r>
        <w:rPr>
          <w:rFonts w:ascii="Times New Roman;Times;Serif" w:hAnsi="Times New Roman;Times;Serif"/>
          <w:b w:val="false"/>
          <w:i w:val="false"/>
          <w:caps w:val="false"/>
          <w:smallCaps w:val="false"/>
          <w:sz w:val="20"/>
        </w:rPr>
        <w:t>. At the Company’s option, either (x) the Company shall be deemed to have been Discharged (as defined below) from its obligations with respect to Securities of any series on the first day after the applicable conditions set forth below have been satisfied or (y) the Company shall cease to be under any obligation to comply with any term, provision or condition set forth in Section 6.04 and Section 10.02 with respect to Securities of any series (and, if so specified pursuant to Section 3.01, any other restrictive covenant added for the benefit of such series pursuant to Section 3.01) (“covenant defeasance”) upon the satisfaction of the applicable conditions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have deposited or caused to be deposited irrevocably with the Trustee as trust funds in trust, specifically pledged as security for, and dedicated solely to, the benefit of the Holders of the Securities of such series (i) money in the Currency in which such Securities are payable in an amount, or (ii) U.S. Government Obligations (as defined below) that, through the payment of interest and principal in respect thereof in accordance with their terms, will provide, not later than one day before the due date of any payment, money in the Currency in which such Securities are payable in an amount, or (iii) a combination of (i) and (ii), sufficient (without consideration of any reinvestment of such principal and interest) to pay and discharge each installment of principal (including any mandatory sinking fund payments) of and premium, if any, and interest on, the Outstanding Securities of such series on the dates such installments of interest or principal and premium are due and, if the Securities of such series are to be called for redemption as described in clause (d) below, to pay and discharge the Redemption Price on the Securities called for redemption on the applicable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Default with respect to the Securities of such series shall have occurred and be continuing on the date of such deposit (other than a Default resulting from the borrowing of funds and the grant of any related liens to be applied to such deposit) and, solely in the case of Discharge pursuant to clause (x) of the first paragraph of this Section 12.03, no Default with respect to the Securities of such series under either clause (e) or (f) of Section 7.01 shall have occurred at any time during the period ending on and including the date of such deposit;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have delivered to the Trustee an Opinion of Counsel to the effect that Holders of the Securities of such series will not recognize income, gain or loss for U.S. federal income tax purposes as a result of the Company’s exercise of its option under this Section and will be subject to federal income tax on the same amounts and in the same manner and at the same times as would have been the case if such option had not been exercised and, in the case of the Securities of such series being Discharged pursuant to clause (x) of the first paragraph of this Section 12.03, such Opinion of Counsel shall be based upon and accompanied by a ruling to that effect received by the Company from or published by the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monies or U.S. Government Obligations or combination thereof, as the case may be, deposited under clause (a) above are sufficient to pay the principal of and premium, if any, and interest on the Securities of such series (including, without limitation, any mandatory sinking fund payment) or any portion thereof to be redeemed on a particular Redemption Date (including, without limitation, pursuant to a mandatory sinking fund), the Company shall have given to the Trustee irrevocable instructions to redeem such Securities on such date and shall have made arrangements satisfactory to the Trustee for the giving of notice of such redemption by the Trustee in the name, and at the expense, of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have delivered to the Trustee an Officer’s Certificate and an Opinion of Counsel, each stating that all conditions precedent to such action under this Indenture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Discharged” means, with respect to the Securities of any series, that the Company shall be deemed to have paid and discharged the entire indebtedness represented by, and obligations under, the Securities of such series and to have satisfied all the obligations under this Indenture relating to the Securities of such series (and the Trustee, at the expense of the Company, shall execute such instruments reasonably requested by the Company acknowledging the same), except for the following, all of which shall survive such Discharge and remain in full force and effect with respect to the Securities of such series: (A) the rights of Holders of Securities of such series to receive, from the trust fund described in clause (a) above, payment of the principal of and premium, if any, and interest on such Securities when such payments are due, (B) Sections 3.04, 3.05, 3.06, 3.07, 3.10, 6.02 and 6.03, (C) if the Securities of such series are to be redeemed prior to their Stated Maturity, the provisions of Article IV hereof, (D) if the Securities of such series are convertible into or exchangeable for other securities or property, the rights of the Holders of such Securities to convert or exchange, and the obligations of the Company to convert or exchange, such Securities into such other securities or property, (E) the provisions of this Article XII and (F) the rights, powers, trusts, duties, indemnities and immunities of the Trustee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U.S. Government Obligations” means securities that are (i) direct obligations of the United States for the payment of which its full faith and credit is pledged or (ii) obligations of a Person controlled or supervised by and acting as an agency or instrumentality of the United States the timely of payment of which is unconditionally guaranteed as a full faith and credit obligation by the United States, that, in either case under clauses (i) or (ii)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provided that (except as required by law) such custodian is not authorized to make any deduction from the amount payable to the holder of such depositary receipt from any amount received by the custodian in respect of the U.S. Government Obligation or the specific payment of interest on or principal of the U.S. Government Obligation evidenced by such depositary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12.04          </w:t>
      </w:r>
      <w:r>
        <w:rPr>
          <w:rFonts w:ascii="Times New Roman;Times;Serif" w:hAnsi="Times New Roman;Times;Serif"/>
          <w:b w:val="false"/>
          <w:i w:val="false"/>
          <w:caps w:val="false"/>
          <w:smallCaps w:val="false"/>
          <w:sz w:val="20"/>
          <w:u w:val="single"/>
        </w:rPr>
        <w:t>Repayment to Company</w:t>
      </w:r>
      <w:r>
        <w:rPr>
          <w:rFonts w:ascii="Times New Roman;Times;Serif" w:hAnsi="Times New Roman;Times;Serif"/>
          <w:b w:val="false"/>
          <w:i w:val="false"/>
          <w:caps w:val="false"/>
          <w:smallCaps w:val="false"/>
          <w:sz w:val="20"/>
        </w:rPr>
        <w:t>. The Trustee and any Paying Agent shall promptly pay to the Company (or to its designee) upon delivery of a Company Order any moneys or U.S. Government Obligations deposited pursuant to Sections 12.02 and 12.03 with respect to the Securities of any series and held by them that are in excess of the monies and/or U.S. Government Obligations that were required to effect the satisfaction and discharge, covenant defeasance or Discharge, as applicable, with respect to the Securities of such series, including any such moneys or obligations held by the Trustee under any escrow trust agreement entered into pursuant to Section 12.06. The provisions of Section 6.03(e) shall apply to any money held by the Trustee or any Paying Agent under this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12.05          </w:t>
      </w:r>
      <w:r>
        <w:rPr>
          <w:rFonts w:ascii="Times New Roman;Times;Serif" w:hAnsi="Times New Roman;Times;Serif"/>
          <w:b w:val="false"/>
          <w:i w:val="false"/>
          <w:caps w:val="false"/>
          <w:smallCaps w:val="false"/>
          <w:sz w:val="20"/>
          <w:u w:val="single"/>
        </w:rPr>
        <w:t>Indemnity for U.S. Government Obligations</w:t>
      </w:r>
      <w:r>
        <w:rPr>
          <w:rFonts w:ascii="Times New Roman;Times;Serif" w:hAnsi="Times New Roman;Times;Serif"/>
          <w:b w:val="false"/>
          <w:i w:val="false"/>
          <w:caps w:val="false"/>
          <w:smallCaps w:val="false"/>
          <w:sz w:val="20"/>
        </w:rPr>
        <w:t>. The Company shall pay and shall indemnify the Trustee against any tax, fee or other charge imposed on or assessed against the deposited U.S. Government Obligations or the principal or interest received on such U.S. Government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12.06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12.07          </w:t>
      </w:r>
      <w:r>
        <w:rPr>
          <w:rFonts w:ascii="Times New Roman;Times;Serif" w:hAnsi="Times New Roman;Times;Serif"/>
          <w:b w:val="false"/>
          <w:i w:val="false"/>
          <w:caps w:val="false"/>
          <w:smallCaps w:val="false"/>
          <w:sz w:val="20"/>
          <w:u w:val="single"/>
        </w:rPr>
        <w:t>Application of Trust Money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Trustee nor any other Paying Agent shall be required to pay interest on any moneys deposited pursuant to the provisions of this Indenture, except such as it shall agree with the Company in writing to pay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Section 6.03(e), any monies and U.S. Government Obligations which at any time shall be deposited by the Company or on its behalf with the Trustee or any other Paying Agent for the purpose of paying the principal of, premium, if any, and interest on any of the Securities shall be and are hereby assigned, transferred and set over to the Trustee or such other Paying Agent in trust for the respective Holders of the Securities for the purpose for which such moneys shall have been deposited, and such funds shall be applied by the Trustee or Paying Agent in accordance with the provisions of such Securities and this Indenture to the payment of all sums due and to become due on such Securities in respect of principal and premium, if any, and interest; but such moneys need not be segregated from other funds except to the extent required by law. Anything in this Indenture to the contrary notwithstanding, neither the Company nor any of its Subsidiaries nor any of their respective Affiliates may act as Paying Agent for any Securities in respect of which money or U.S. Government Obligations have been deposited pursuant to this Article XII.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12.08          </w:t>
      </w:r>
      <w:r>
        <w:rPr>
          <w:rFonts w:ascii="Times New Roman;Times;Serif" w:hAnsi="Times New Roman;Times;Serif"/>
          <w:b w:val="false"/>
          <w:i w:val="false"/>
          <w:caps w:val="false"/>
          <w:smallCaps w:val="false"/>
          <w:sz w:val="20"/>
          <w:u w:val="single"/>
        </w:rPr>
        <w:t>Deposits of Non-U.S. Currencies</w:t>
      </w:r>
      <w:r>
        <w:rPr>
          <w:rFonts w:ascii="Times New Roman;Times;Serif" w:hAnsi="Times New Roman;Times;Serif"/>
          <w:b w:val="false"/>
          <w:i w:val="false"/>
          <w:caps w:val="false"/>
          <w:smallCaps w:val="false"/>
          <w:sz w:val="20"/>
        </w:rPr>
        <w:t>. Notwithstanding the foregoing provisions of this Article, if the Securities of any series are payable in a Currency other than U.S. Dollars, the Currency or the nature of the government obligations to be deposited with the Trustee under the foregoing provisions of this Article shall be as set forth in a Board Resolution, a Company Order or in one or more supplemental indentures hereto and may be deposited with an entity appointed by the Company and reasonably acceptable to the Trustee for purposes of holding the funds until payment to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IMMUNITY OF CERTAIN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13.01          </w:t>
      </w:r>
      <w:r>
        <w:rPr>
          <w:rFonts w:ascii="Times New Roman;Times;Serif" w:hAnsi="Times New Roman;Times;Serif"/>
          <w:b w:val="false"/>
          <w:i w:val="false"/>
          <w:caps w:val="false"/>
          <w:smallCaps w:val="false"/>
          <w:sz w:val="20"/>
          <w:u w:val="single"/>
        </w:rPr>
        <w:t>No Personal Liability</w:t>
      </w:r>
      <w:r>
        <w:rPr>
          <w:rFonts w:ascii="Times New Roman;Times;Serif" w:hAnsi="Times New Roman;Times;Serif"/>
          <w:b w:val="false"/>
          <w:i w:val="false"/>
          <w:caps w:val="false"/>
          <w:smallCaps w:val="false"/>
          <w:sz w:val="20"/>
        </w:rPr>
        <w:t>. No recourse shall be had for the payment of the principal of, or the premium, if any, or interest on, any Security or for any claim based thereon or otherwise in respect thereof or of the Indebtedness represented thereby, or upon any obligation, covenant or agreement of this Indenture, against any incorporator, stockholder, officer or director, as such, past, present or future, of the Company or of any successor corporation, either directly or through the Company or any successor corporation, whether by virtue of any constitutional provision, statute or rule of law, or by the enforcement of any assessment or penalty or otherwise; it being expressly agreed and understood that this Indenture and the Securities are solely corporate obligations, and that no personal liability whatsoever shall attach to, or be incurred by, any incorporator, stockholder, officer or director, as such, past, present or future, of the Company or of any successor corporation, either directly or through the Company or any successor corporation, because of the incurring of the Indebtedness hereby authorized or under or by reason of any of the obligations, covenants, promises or agreements contained in this Indenture or in any of the Securities, or to be implied herefrom or therefrom, and that all liability, if any, of that character against every such incorporator, stockholder, officer and director is, by the acceptance of the Securities and as a condition of, and as part of the consideration for, the execution of this Indenture and the issue of the Securities expressly waived and released.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SUPPLEMENTAL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14.01          </w:t>
      </w:r>
      <w:r>
        <w:rPr>
          <w:rFonts w:ascii="Times New Roman;Times;Serif" w:hAnsi="Times New Roman;Times;Serif"/>
          <w:b w:val="false"/>
          <w:i w:val="false"/>
          <w:caps w:val="false"/>
          <w:smallCaps w:val="false"/>
          <w:sz w:val="20"/>
          <w:u w:val="single"/>
        </w:rPr>
        <w:t>Without Consent of Securityholders</w:t>
      </w:r>
      <w:r>
        <w:rPr>
          <w:rFonts w:ascii="Times New Roman;Times;Serif" w:hAnsi="Times New Roman;Times;Serif"/>
          <w:b w:val="false"/>
          <w:i w:val="false"/>
          <w:caps w:val="false"/>
          <w:smallCaps w:val="false"/>
          <w:sz w:val="20"/>
        </w:rPr>
        <w:t>. Except as otherwise provided as contemplated by Section 3.01 with respect to any series of Securities, the Company and the Trustee, at any time and from time to time, may enter into one or more indentures supplemental hereto, in form satisfactory to the Trustee, for any one or more of or all the following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add to the covenants and agreements of the Company, to be observed thereafter and during the period, if any, in such supplemental indenture or indentures expressed, and to add Events of Default, in each case for the protection or benefit of the Holders of all or any series of the Securities (and if such covenants, agreements and Events of Default are to be for the benefit of fewer than all series of Securities, stating that such covenants, agreements and Events of Default are expressly being included for the benefit of such series as shall be identified therein), or to surrender any right or power herein conferred upon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delete or modify any Events of Default with respect to any series of the Securities, the form and terms of which are being first established pursuant to such supplemental indenture as permitted in Section 3.01 (and, if any such Event of Default is applicable to fewer than all such series of the Securities, specifying the series to which such Event of Default is applicable), and to specify the rights and remedies of the Trustee and the Holders of such Securities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add to or change any of the provisions of this Indenture to provide, change or eliminate any restrictions on the payment of principal of or premium, if any, on Securities; provided that any such action shall not adversely affect the interests of the Holders of Securities of any series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change or eliminate any of the provisions of this Indenture; provided that any such change or elimination shall become effective only when there is no Outstanding Security of any series created prior to the execution of such supplemental indenture that is entitled to the benefit of such provision and as to which such supplemental indenture would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evidence the succession of another entity to the Company, or successive successions, and the assumption by such successor of the covenants and obligations of the Company contained in the Securities of one or more series and in this Indenture or any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evidence and provide for the acceptance of appointment hereunder by a successor Trustee with respect to one or more series of Securities and to add to or change any of the provisions of this Indenture as shall be necessary for or facilitate the administration of the trusts hereunder by more than one Trustee, pursuant to the requirements of Section 11.06(c);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secure any series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evidence any changes to this Indenture pursuant to Sections 11.05, 11.06 or 11.07 hereof as permitted by the terms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cure any ambiguity or inconsistency or to correct or supplement any provision contained herein or in any indenture supplemental hereto which may be defective or inconsistent with any other provision contained herein or in any supplemental indenture or to conform the terms hereof, as amended and supplemented, that are applicable to the Securities of any series to the description of the terms of such Securities in the offering memorandum, prospectus supplement or other offering document applicable to such Securities at the time of initial sale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to add to or change or eliminate any provision of this Indenture as shall be necessary or desirable in accordance with any amendments to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add guarantors or co-obligors with respect to any series of Securities or to release guarantors from their guarantees of Securities in accordance with the terms of the applicable series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to make any change in any series of Securities that does not adversely affect in any material respect the rights of the Holders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to provide for uncertificated securities in addition to certificated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to supplement any of the provisions of this Indenture to such extent as shall be necessary to permit or facilitate the defeasance and discharge of any series of Securities; provided that any such action shall not adversely affect the interests of the Holders of Securities of such series or any other series of Securities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to prohibit the authentication and delivery of additional series of Securities;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to establish the form and terms of Securities of any series as permitted in Section 3.01, or to authorize the issuance of additional Securities of a series previously authorized or to add to the conditions, limitations or restrictions on the authorized amount, terms or purposes of issue, authentication or delivery of the Securities of any series, as herein set forth, or other conditions, limitations or restrictions thereafter to be observed.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14.03, the Trustee is authorized to join with the Company in the execution of any such supplemental indenture, to make the further agreements and stipulations which may be therein contained and to accept the conveyance, transfer, assignment, mortgage or pledge of any property or assets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supplemental indenture authorized by the provisions of this Section 14.01 may be executed by the Company and the Trustee without the consent of the Holders of any of the Securities at the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14.02            </w:t>
      </w:r>
      <w:r>
        <w:rPr>
          <w:rFonts w:ascii="Times New Roman;Times;Serif" w:hAnsi="Times New Roman;Times;Serif"/>
          <w:b w:val="false"/>
          <w:i w:val="false"/>
          <w:caps w:val="false"/>
          <w:smallCaps w:val="false"/>
          <w:sz w:val="20"/>
          <w:u w:val="single"/>
        </w:rPr>
        <w:t>With Consent of Securityholders; Limitations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the consent of the Holders (evidenced as provided in Article VIII) of a majority in aggregate principal amount of the Outstanding Securities of each series affected by such supplemental indenture voting separately, the Company and the Trustee may, from time to time and at any time, enter into an indenture or indentures supplemental hereto for the purpose of adding any provisions to or changing in any manner or eliminating any provisions of this Indenture or of modifying in any manner the rights of the Holders of the Securities of such series to be affected; provided, however, that no such supplemental indenture shall, without the consent of the Holder of each Outstanding Security of each such series affected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extend the Stated Maturity of the principal of, or any installment of interest on, any Security, or reduce the principal amount thereof or the interest thereon or any premium payable thereon, or extend the Stated Maturity of, or change the Currency in which the principal of and premium, if any, or interest on such Security is denominated or payable, or reduce the amount of the principal of an Original Issue Discount Security that would be due and payable upon acceleration of the Maturity thereof pursuant to Section 7.02, change the ranking of any Security or, in the case of any subordinated Security, the definition of Senior Indebtedness applicable thereto, or impair the right to institute suit for the enforcement of any payment on or after the Stated Maturity thereof (or, in the case of redemption, on or after the Redemption Date), or materially adversely affect the economic terms of any right to convert or exchange any Security as may be provided pursuant to Section 3.01;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reduce the percentage in principal amount of the Outstanding Securities of any series, the consent of whose Holders is required for any supplemental indenture, or the consent of whose Holders is required for any waiver of compliance with certain provisions of this Indenture or certain Defaults hereunder and their consequences provided for in this Indenture;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modify any of the provisions of this Section, Section 7.06 or Section 6.06,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and Section 6.06, or the deletion of this proviso, in accordance with the requirements of Sections 11.06 and 14.01(f);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modify, without the written consent of the Trustee, the rights, duties, indemnities or immunities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supplemental indenture that changes or eliminates any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It shall not be necessary for the consent of the Securityholders under this Section 14.02 to approve the particular form of any proposed supplemental indenture, but it shall be sufficient if such consent shall approve the substance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may set a record date for purposes of determining the identity of the Holders of each series of Securities entitled to give a written consent or waive compliance by the Company as authorized or permitted by this Section. Such record date shall not be more than 30 days prior to the first solicitation of such consent or waiver or the date of the most recent list of Holders furnished to the Trustee prior to such solicitation pursuant to Section 312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Promptly after the execution by the Company and the Trustee of any supplemental indenture pursuant to the provisions of this Section 14.02, the Company shall mail a notice, setting forth in general terms the substance of such supplemental indenture, to the Holders of Securities at their addresses as the same shall then appear in the Register of the Company. Any failure of the Company to mail such notice, or any defect therein, shall not, however, in any way impair or affect the validity of any such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14.03            </w:t>
      </w:r>
      <w:r>
        <w:rPr>
          <w:rFonts w:ascii="Times New Roman;Times;Serif" w:hAnsi="Times New Roman;Times;Serif"/>
          <w:b w:val="false"/>
          <w:i w:val="false"/>
          <w:caps w:val="false"/>
          <w:smallCaps w:val="false"/>
          <w:sz w:val="20"/>
          <w:u w:val="single"/>
        </w:rPr>
        <w:t>Trustee Protected</w:t>
      </w:r>
      <w:r>
        <w:rPr>
          <w:rFonts w:ascii="Times New Roman;Times;Serif" w:hAnsi="Times New Roman;Times;Serif"/>
          <w:b w:val="false"/>
          <w:i w:val="false"/>
          <w:caps w:val="false"/>
          <w:smallCaps w:val="false"/>
          <w:sz w:val="20"/>
        </w:rPr>
        <w:t>. Upon the request of the Company, accompanied by the Officer’s Certificate and Opinion of Counsel required by Section 16.01 (provided, however, that such Officer’s Certificate or Opinion of Counsel need not be provided in connection with the execution of a supplemental indenture that establishes the terms of a series of Securities pursuant to Section 2.01 hereof) and evidence satisfactory to the Trustee of consent of the Holders if the supplemental indenture is to be executed pursuant to Section 14.02, the Trustee shall join with the Company in the execution of said supplemental indenture unless said supplemental indenture affects the Trustee’s own rights, duties, indemnities or immunities under this Indenture or otherwise, in which case the Trustee may in its discretion, but shall not be obligated to, enter into said supplemental indenture. The Trustee shall be fully protected in relying upon such Officer’s Certificate and Opinion of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14.04            </w:t>
      </w:r>
      <w:r>
        <w:rPr>
          <w:rFonts w:ascii="Times New Roman;Times;Serif" w:hAnsi="Times New Roman;Times;Serif"/>
          <w:b w:val="false"/>
          <w:i w:val="false"/>
          <w:caps w:val="false"/>
          <w:smallCaps w:val="false"/>
          <w:sz w:val="20"/>
          <w:u w:val="single"/>
        </w:rPr>
        <w:t>Effect of Execution of Supplemental Indenture</w:t>
      </w:r>
      <w:r>
        <w:rPr>
          <w:rFonts w:ascii="Times New Roman;Times;Serif" w:hAnsi="Times New Roman;Times;Serif"/>
          <w:b w:val="false"/>
          <w:i w:val="false"/>
          <w:caps w:val="false"/>
          <w:smallCaps w:val="false"/>
          <w:sz w:val="20"/>
        </w:rPr>
        <w:t>. Upon the execution of any supplemental indenture pursuant to the provisions of this Article XIV, this Indenture shall be deemed to be modified and amended in accordance therewith and, except as herein otherwise expressly provided, the respective rights, limitations of rights, obligations, duties and immunities under this Indenture of the Trustee, the Company and the Holders of all of the Securities or of the Securities of any series affected, as the case may be,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14.05            </w:t>
      </w:r>
      <w:r>
        <w:rPr>
          <w:rFonts w:ascii="Times New Roman;Times;Serif" w:hAnsi="Times New Roman;Times;Serif"/>
          <w:b w:val="false"/>
          <w:i w:val="false"/>
          <w:caps w:val="false"/>
          <w:smallCaps w:val="false"/>
          <w:sz w:val="20"/>
          <w:u w:val="single"/>
        </w:rPr>
        <w:t>Notation on or Exchange of Securities</w:t>
      </w:r>
      <w:r>
        <w:rPr>
          <w:rFonts w:ascii="Times New Roman;Times;Serif" w:hAnsi="Times New Roman;Times;Serif"/>
          <w:b w:val="false"/>
          <w:i w:val="false"/>
          <w:caps w:val="false"/>
          <w:smallCaps w:val="false"/>
          <w:sz w:val="20"/>
        </w:rPr>
        <w:t>. Securities of any series authenticated and delivered after the execution of any supplemental indenture pursuant to the provisions of this Article may bear a notation in the form approved by the Trustee as to any matter provided for in such supplemental indenture. If the Company or the Trustee shall so determine, new Securities so modified as to conform, in the opinion of the Trustee and the Board of Directors of the Company, to any modification of this Indenture contained in any such supplemental indenture may be prepared and executed by the Company and authenticated and delivered by the Trustee in exchange for the Securities then Outstanding in equal aggregate principal amounts, and such exchange shall be made without cost to the Holders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14.06            </w:t>
      </w:r>
      <w:r>
        <w:rPr>
          <w:rFonts w:ascii="Times New Roman;Times;Serif" w:hAnsi="Times New Roman;Times;Serif"/>
          <w:b w:val="false"/>
          <w:i w:val="false"/>
          <w:caps w:val="false"/>
          <w:smallCaps w:val="false"/>
          <w:sz w:val="20"/>
          <w:u w:val="single"/>
        </w:rPr>
        <w:t>Conformity with TIA</w:t>
      </w:r>
      <w:r>
        <w:rPr>
          <w:rFonts w:ascii="Times New Roman;Times;Serif" w:hAnsi="Times New Roman;Times;Serif"/>
          <w:b w:val="false"/>
          <w:i w:val="false"/>
          <w:caps w:val="false"/>
          <w:smallCaps w:val="false"/>
          <w:sz w:val="20"/>
        </w:rPr>
        <w:t>. Every supplemental indenture executed pursuant to the provisions of this Article shall conform to the requirements of the Trust Indenture Act as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SUBORDINATION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15.01           </w:t>
      </w:r>
      <w:r>
        <w:rPr>
          <w:rFonts w:ascii="Times New Roman;Times;Serif" w:hAnsi="Times New Roman;Times;Serif"/>
          <w:b w:val="false"/>
          <w:i w:val="false"/>
          <w:caps w:val="false"/>
          <w:smallCaps w:val="false"/>
          <w:sz w:val="20"/>
          <w:u w:val="single"/>
        </w:rPr>
        <w:t>Agreement to Subordinate</w:t>
      </w:r>
      <w:r>
        <w:rPr>
          <w:rFonts w:ascii="Times New Roman;Times;Serif" w:hAnsi="Times New Roman;Times;Serif"/>
          <w:b w:val="false"/>
          <w:i w:val="false"/>
          <w:caps w:val="false"/>
          <w:smallCaps w:val="false"/>
          <w:sz w:val="20"/>
        </w:rPr>
        <w:t>. In the event a series of Securities is designated as subordinated pursuant to Section 3.01, and except as otherwise provided in a Company Order or in one or more indentures supplemental hereto, the Company, for itself, its successors and assigns, covenants and agrees, and each Holder of Securities of such series by his, her or its acceptance thereof, likewise covenants and agrees, that the payment of the principal of (and premium, if any) and interest, if any, on each and all of the Securities of such series is hereby expressly subordinated, to the extent and in the manner hereinafter set forth, in right of payment to the prior payment in full of all Senior Indebtedness. In the event a series of Securities is not designated as subordinated pursuant to Section 3.01(t), this Article XV shall have no effect upon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15.02           </w:t>
      </w:r>
      <w:r>
        <w:rPr>
          <w:rFonts w:ascii="Times New Roman;Times;Serif" w:hAnsi="Times New Roman;Times;Serif"/>
          <w:b w:val="false"/>
          <w:i w:val="false"/>
          <w:caps w:val="false"/>
          <w:smallCaps w:val="false"/>
          <w:sz w:val="20"/>
          <w:u w:val="single"/>
        </w:rPr>
        <w:t>Distribution on Dissolution, Liquidation and Reorganization; Subrogation of Securities</w:t>
      </w:r>
      <w:r>
        <w:rPr>
          <w:rFonts w:ascii="Times New Roman;Times;Serif" w:hAnsi="Times New Roman;Times;Serif"/>
          <w:b w:val="false"/>
          <w:i w:val="false"/>
          <w:caps w:val="false"/>
          <w:smallCaps w:val="false"/>
          <w:sz w:val="20"/>
        </w:rPr>
        <w:t>. Subject to Section 15.01, upon any distribution of assets of the Company upon any dissolution, winding up, liquidation or reorganization of the Company, whether in bankruptcy, insolvency, reorganization or receivership proceedings or upon an assignment for the benefit of creditors or any other marshalling of the assets and liabilities of the Company or otherwise (subject to the power of a court of competent jurisdiction to make other equitable provision reflecting the rights conferred in this Indenture upon the Senior Indebtedness and the holders thereof with respect to the Securities and the holders thereof by a lawful plan of reorganization under applicable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holders of all Senior Indebtedness shall be entitled to receive payment in full of the principal thereof (and premium, if any) and interest due thereon before the Holders of the Securities are entitled to receive any payment upon the principal (or premium, if any) or interest, if any, on Indebtedness evidenced by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payment or distribution of assets of the Company of any kind or character, whether in cash, property or securities, to which the Holders of the Securities or the Trustee would be entitled except for the provisions of this Article XV shall be paid by the liquidation trustee or agent or other Person making such payment or distribution, whether a trustee in bankruptcy, a receiver or liquidating trustee or otherwise, directly to the holders of Senior Indebtedness or their representative or representatives or to the trustee or trustees under any indenture under which any instruments evidencing any of such Senior Indebtedness may have been issued, ratably according to the aggregate amounts remaining unpaid on account of the principal of (and premium, if any) and interest on the Senior Indebtedness held or represented by each, to the extent necessary to make payment in full of all Senior Indebtedness remaining unpaid, after giving effect to any concurrent payment or distribution to the holders of such Senior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that, notwithstanding the foregoing, any payment or distribution of assets of the Company of any kind or character, whether in cash, property or securities prohibited by the foregoing, shall be received by the Trustee or the Holders of the Securities before all Senior Indebtedness is paid in full, such payment or distribution shall be paid over, upon written notice to a Responsible Officer of the Trustee, to the holder of such Senior Indebtedness or his, her or its representative or representatives or to the trustee or trustees under any indenture under which any instrument evidencing any of such Senior Indebtedness may have been issued, ratably as aforesaid, as calculated by the Company, for application to payment of all Senior Indebtedness remaining unpaid until all such Senior Indebtedness shall have been paid in full, after giving effect to any concurrent payment or distribution to the holders of such Senior Indebtedness;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Subject to the payment in full of all Senior Indebtedness, the Holders of the Securities shall be subrogated to the rights of the holders of Senior Indebtedness (to the extent that distributions otherwise payable to such holder have been applied to the payment of Senior Indebtedness) to receive payments or distributions of cash, property or securities of the Company applicable to Senior Indebtedness until the principal of (and premium, if any) and interest, if any, on the Securities shall be paid in full and no such payments or distributions to the Holders of the Securities of cash, property or securities otherwise distributable to the holders of Senior Indebtedness shall, as between the Company, its creditors other than the holders of Senior Indebtedness, and the Holders of the Securities be deemed to be a payment by the Company to or on account of the Securities. It is understood that the provisions of this Article XV are and are intended solely for the purpose of defining the relative rights of the Holders of the Securities, on the one hand, and the holders of the Senior Indebtedness, on the other hand. Nothing contained in this Article XV or elsewhere in this Indenture or in the Securities is intended to or shall impair, as between the Company, its creditors other than the holders of Senior Indebtedness, and the Holders of the Securities, the obligation of the Company, which is unconditional and absolute, to pay to the Holders of the Securities the principal of (and premium, if any) and interest, if any, on the Securities as and when the same shall become due and payable in accordance with their terms, or to affect the relative rights of the Holders of the Securities and creditors of the Company other than the holders of Senior Indebtedness, nor shall anything herein or in the Securities prevent the Trustee or the Holder of any Security from exercising all remedies otherwise permitted by applicable law upon default under this Indenture, subject to the rights, if any, under this Article XV of the holders of Senior Indebtedness in respect of cash, property or securities of the Company received upon the exercise of any such remedy. Upon any payment or distribution of assets of the Company referred to in this Article XV, the Trustee, subject to the provisions of Section 15.06, shall be entitled to conclusively rely upon a certificate of the liquidating trustee or agent or other person making any distribution to the Trustee for the purpose of ascertaining the Persons entitled to participate in such distribution, the holders of Senior Indebtedness and other indebtedness of the Company, the amount thereof or payable thereon, the amount or amounts paid or distributed thereof and all other facts pertinent thereto or to this Article XV.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15.03            </w:t>
      </w:r>
      <w:r>
        <w:rPr>
          <w:rFonts w:ascii="Times New Roman;Times;Serif" w:hAnsi="Times New Roman;Times;Serif"/>
          <w:b w:val="false"/>
          <w:i w:val="false"/>
          <w:caps w:val="false"/>
          <w:smallCaps w:val="false"/>
          <w:sz w:val="20"/>
          <w:u w:val="single"/>
        </w:rPr>
        <w:t>No Payment on Securities in Event of Default on Senior Indebtedness</w:t>
      </w:r>
      <w:r>
        <w:rPr>
          <w:rFonts w:ascii="Times New Roman;Times;Serif" w:hAnsi="Times New Roman;Times;Serif"/>
          <w:b w:val="false"/>
          <w:i w:val="false"/>
          <w:caps w:val="false"/>
          <w:smallCaps w:val="false"/>
          <w:sz w:val="20"/>
        </w:rPr>
        <w:t>. Subject to Section 15.01, no payment by the Company on account of principal (or premium, if any), sinking funds or interest, if any, on the Securities shall be made at any time if: (i) a default on Senior Indebtedness exists that permits the holders of such Senior Indebtedness to accelerate its maturity and (ii) the default is the subject of judicial proceedings or the Company has received notice of such default. The Company may resume payments on the Securities when full payment of amounts then due for principal (premium, if any), sinking funds and interest on Senior Indebtedness has been made or duly provided for in money or money’s worth.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notwithstanding the foregoing, any payment shall be received by the Trustee when such payment is prohibited by the preceding paragraph of this Section 15.03, such payment shall be held in trust for the benefit of, and shall be paid over or delivered to, the holders of such Senior Indebtedness or their respective representatives, or to the trustee or trustees under any indenture pursuant to which any of such Senior Indebtedness may have been issued, as their respective interests may appear, as calculated by the Company, but only to the extent that the holders of such Senior Indebtedness (or their representative or representatives or a trustee) notify the Trustee in writing within 90 days of such payment of the amounts then due and owing on such Senior Indebtedness and only the amounts specified in such notice to the Trustee shall be paid to the holders of such Senior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15.04          </w:t>
      </w:r>
      <w:r>
        <w:rPr>
          <w:rFonts w:ascii="Times New Roman;Times;Serif" w:hAnsi="Times New Roman;Times;Serif"/>
          <w:b w:val="false"/>
          <w:i w:val="false"/>
          <w:caps w:val="false"/>
          <w:smallCaps w:val="false"/>
          <w:sz w:val="20"/>
          <w:u w:val="single"/>
        </w:rPr>
        <w:t>Payments on Securities Permitted</w:t>
      </w:r>
      <w:r>
        <w:rPr>
          <w:rFonts w:ascii="Times New Roman;Times;Serif" w:hAnsi="Times New Roman;Times;Serif"/>
          <w:b w:val="false"/>
          <w:i w:val="false"/>
          <w:caps w:val="false"/>
          <w:smallCaps w:val="false"/>
          <w:sz w:val="20"/>
        </w:rPr>
        <w:t>. Subject to Section 15.01, nothing contained in this Indenture or in any of the Securities shall (a) affect the obligation of the Company to make, or prevent the Company from making, at any time except as provided in Sections 15.02 and 15.03, payments of principal of (or premium, if any) or interest, if any, on the Securities or (b) prevent the application by the Trustee of any moneys or assets deposited with it hereunder to the payment of or on account of the principal of (or premium, if any) or interest, if any, on the Securities, unless a Responsible Officer of the Trustee shall have received at its Corporate Trust Office written notice of any fact prohibiting the making of such payment from the Company or from the holder of any Senior Indebtedness or from the trustee for any such holder, together with proof satisfactory to the Trustee of such holding of Senior Indebtedness or of the authority of such trustee more than two Business Days prior to the date fixed for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15.05          </w:t>
      </w:r>
      <w:r>
        <w:rPr>
          <w:rFonts w:ascii="Times New Roman;Times;Serif" w:hAnsi="Times New Roman;Times;Serif"/>
          <w:b w:val="false"/>
          <w:i w:val="false"/>
          <w:caps w:val="false"/>
          <w:smallCaps w:val="false"/>
          <w:sz w:val="20"/>
          <w:u w:val="single"/>
        </w:rPr>
        <w:t>Authorization of Securityholders to Trustee to Effect Subordination</w:t>
      </w:r>
      <w:r>
        <w:rPr>
          <w:rFonts w:ascii="Times New Roman;Times;Serif" w:hAnsi="Times New Roman;Times;Serif"/>
          <w:b w:val="false"/>
          <w:i w:val="false"/>
          <w:caps w:val="false"/>
          <w:smallCaps w:val="false"/>
          <w:sz w:val="20"/>
        </w:rPr>
        <w:t>. Subject to Section 15.01, each Holder of Securities by his acceptance thereof authorizes and directs the Trustee on his, her or its behalf to take such action as may be necessary or appropriate to effectuate the subordination as provided in this Article XV and appoints the Trustee his attorney-in-fact for any and all such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15.06           </w:t>
      </w:r>
      <w:r>
        <w:rPr>
          <w:rFonts w:ascii="Times New Roman;Times;Serif" w:hAnsi="Times New Roman;Times;Serif"/>
          <w:b w:val="false"/>
          <w:i w:val="false"/>
          <w:caps w:val="false"/>
          <w:smallCaps w:val="false"/>
          <w:sz w:val="20"/>
          <w:u w:val="single"/>
        </w:rPr>
        <w:t>Notices to Trustee</w:t>
      </w:r>
      <w:r>
        <w:rPr>
          <w:rFonts w:ascii="Times New Roman;Times;Serif" w:hAnsi="Times New Roman;Times;Serif"/>
          <w:b w:val="false"/>
          <w:i w:val="false"/>
          <w:caps w:val="false"/>
          <w:smallCaps w:val="false"/>
          <w:sz w:val="20"/>
        </w:rPr>
        <w:t>. The Company shall give prompt written notice to a Responsible Officer of the Trustee of any fact known to the Company that would prohibit the making of any payment of monies or assets to or by the Trustee in respect of the Securities of any series pursuant to the provisions of this Article XV. Subject to Section 15.01, notwithstanding the provisions of this Article XV or any other provisions of this Indenture, neither the Trustee nor any Paying Agent (other than the Company) shall be charged with knowledge of the existence of any Senior Indebtedness or of any fact which would prohibit the making of any payment of moneys or assets to or by the Trustee or such Paying Agent, unless and until a Responsible Officer of the Trustee or such Paying Agent shall have received (in the case of a Responsible Officer of the Trustee, at the Corporate Trust Office of the Trustee) written notice thereof from the Company or from the holder of any Senior Indebtedness or from the trustee for any such holder, together with proof satisfactory to the Trustee of such holding of Senior Indebtedness or of the authority of such trustee and, prior to the receipt of any such written notice, the Trustee shall be entitled in all respects conclusively to presume that no such facts exist; provided, however, that if at least two Business Days prior to the date upon which by the terms hereof any such moneys or assets may become payable for any purpose (including, without limitation, the payment of either the principal (or premium, if any) or interest, if any, on any Security) a Responsible Officer of the Trustee shall not have received with respect to such moneys or assets the notice provided for in this Section 15.06, then, anything herein contained to the contrary notwithstanding, the Trustee shall have full power and authority to receive such moneys or assets and to apply the same to the purpose for which they were received, and shall not be affected by any notice to the contrary which may be received by it within two Business Days prior to such date. The Trustee shall be entitled to rely on the delivery to it of a written notice by a Person representing himself to be a holder of Senior Indebtedness (or a trustee on behalf of such holder) to establish that such a notice has been given by a holder of Senior Indebtedness or a trustee on behalf of any such holder. In the event that the Trustee determines in good faith that further evidence is required with respect to the right of any Person as a holder of Senior Indebtedness to participate in any payment or distribution pursuant to this Article XV,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XV and, if such evidence is not furnished, the Trustee may defer any payment to such Person pending judicial determination as to the right of such Person to receive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15.07          </w:t>
      </w:r>
      <w:r>
        <w:rPr>
          <w:rFonts w:ascii="Times New Roman;Times;Serif" w:hAnsi="Times New Roman;Times;Serif"/>
          <w:b w:val="false"/>
          <w:i w:val="false"/>
          <w:caps w:val="false"/>
          <w:smallCaps w:val="false"/>
          <w:sz w:val="20"/>
          <w:u w:val="single"/>
        </w:rPr>
        <w:t>Trustee as Holder of Senior Indebtedness</w:t>
      </w:r>
      <w:r>
        <w:rPr>
          <w:rFonts w:ascii="Times New Roman;Times;Serif" w:hAnsi="Times New Roman;Times;Serif"/>
          <w:b w:val="false"/>
          <w:i w:val="false"/>
          <w:caps w:val="false"/>
          <w:smallCaps w:val="false"/>
          <w:sz w:val="20"/>
        </w:rPr>
        <w:t>. Subject to Section 15.01, the Trustee in its individual capacity shall be entitled to all the rights set forth in this Article XV in respect of any Senior Indebtedness at any time held by it to the same extent as any other holder of Senior Indebtedness and nothing in this Indenture shall be construed to deprive the Trustee of any of its rights as such holder. Nothing in this Article XV shall apply to claims of, or payments to, the Trustee under or pursuant to Sections 7.05 or 11.01.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15.08          </w:t>
      </w:r>
      <w:r>
        <w:rPr>
          <w:rFonts w:ascii="Times New Roman;Times;Serif" w:hAnsi="Times New Roman;Times;Serif"/>
          <w:b w:val="false"/>
          <w:i w:val="false"/>
          <w:caps w:val="false"/>
          <w:smallCaps w:val="false"/>
          <w:sz w:val="20"/>
          <w:u w:val="single"/>
        </w:rPr>
        <w:t>Modifications of Terms of Senior Indebtedness</w:t>
      </w:r>
      <w:r>
        <w:rPr>
          <w:rFonts w:ascii="Times New Roman;Times;Serif" w:hAnsi="Times New Roman;Times;Serif"/>
          <w:b w:val="false"/>
          <w:i w:val="false"/>
          <w:caps w:val="false"/>
          <w:smallCaps w:val="false"/>
          <w:sz w:val="20"/>
        </w:rPr>
        <w:t>. Subject to Section 15.01, any renewal or extension of the time of payment of any Senior Indebtedness or the exercise by the holders of Senior Indebtedness of any of their rights under any instrument creating or evidencing Senior Indebtedness, including, without limitation, the waiver of default thereunder, may be made or done all without notice to or assent from the Holders of the Securities or the Trustee. To the extent permitted by applicable law, no compromise, alteration, amendment, modification, extension, renewal or other change of, or waiver, consent or other action in respect of, any liability or obligation under or in respect of, or of any of the terms, covenants or conditions of any indenture or other instrument under which any Senior Indebtedness is outstanding or of such Senior Indebtedness, whether or not such release is in accordance with the provisions of any applicable document, shall in any way alter or affect any of the provisions of this Article XV or of the Securities relating to the subordination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15.09          </w:t>
      </w:r>
      <w:r>
        <w:rPr>
          <w:rFonts w:ascii="Times New Roman;Times;Serif" w:hAnsi="Times New Roman;Times;Serif"/>
          <w:b w:val="false"/>
          <w:i w:val="false"/>
          <w:caps w:val="false"/>
          <w:smallCaps w:val="false"/>
          <w:sz w:val="20"/>
          <w:u w:val="single"/>
        </w:rPr>
        <w:t>Reliance on Judicial Order or Certificate of Liquidating Agent</w:t>
      </w:r>
      <w:r>
        <w:rPr>
          <w:rFonts w:ascii="Times New Roman;Times;Serif" w:hAnsi="Times New Roman;Times;Serif"/>
          <w:b w:val="false"/>
          <w:i w:val="false"/>
          <w:caps w:val="false"/>
          <w:smallCaps w:val="false"/>
          <w:sz w:val="20"/>
        </w:rPr>
        <w:t>. Subject to Section 15.01, upon any payment or distribution of assets of the Company referred to in this Article XV, the Trustee and the Holders of the Securities shall be entitled to conclusively rely upon any order or decree entered by any court of competent jurisdiction in which such insolvency, bankruptcy, receivership, liquidation, reorganization, dissolution, winding up or similar case or proceeding is pending, or a certificate of the trustee in bankruptcy, liquidating trustee, custodian, receiver, assignee for the benefit of creditors, agent or other person making such payment or distribution, delivered to the Trustee or to the Holders of Securities, for the purpose of ascertaining the Persons entitled to participate in such payment or distribution, the holders of Senior Indebtedness and other indebtedness of the Company, the amount thereof or payable thereon, the amount or amounts paid or distributed thereon and all other facts pertinent thereto or to this Article XV.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15.10          </w:t>
      </w:r>
      <w:r>
        <w:rPr>
          <w:rFonts w:ascii="Times New Roman;Times;Serif" w:hAnsi="Times New Roman;Times;Serif"/>
          <w:b w:val="false"/>
          <w:i w:val="false"/>
          <w:caps w:val="false"/>
          <w:smallCaps w:val="false"/>
          <w:sz w:val="20"/>
          <w:u w:val="single"/>
        </w:rPr>
        <w:t>Satisfaction and Discharge; Defeasance and Covenant Defeasance</w:t>
      </w:r>
      <w:r>
        <w:rPr>
          <w:rFonts w:ascii="Times New Roman;Times;Serif" w:hAnsi="Times New Roman;Times;Serif"/>
          <w:b w:val="false"/>
          <w:i w:val="false"/>
          <w:caps w:val="false"/>
          <w:smallCaps w:val="false"/>
          <w:sz w:val="20"/>
        </w:rPr>
        <w:t>. Subject to Section 15.01, amounts and U.S. Government Obligations deposited in trust with the Trustee pursuant to and in accordance with Article XII and not, at the time of such deposit, prohibited to be deposited under Sections 15.02 or 15.03 shall not be subject to this Article XV.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15.11          </w:t>
      </w:r>
      <w:r>
        <w:rPr>
          <w:rFonts w:ascii="Times New Roman;Times;Serif" w:hAnsi="Times New Roman;Times;Serif"/>
          <w:b w:val="false"/>
          <w:i w:val="false"/>
          <w:caps w:val="false"/>
          <w:smallCaps w:val="false"/>
          <w:sz w:val="20"/>
          <w:u w:val="single"/>
        </w:rPr>
        <w:t>Trustee Not Fiduciary for Holders of Senior Indebtedness</w:t>
      </w:r>
      <w:r>
        <w:rPr>
          <w:rFonts w:ascii="Times New Roman;Times;Serif" w:hAnsi="Times New Roman;Times;Serif"/>
          <w:b w:val="false"/>
          <w:i w:val="false"/>
          <w:caps w:val="false"/>
          <w:smallCaps w:val="false"/>
          <w:sz w:val="20"/>
        </w:rPr>
        <w:t>. With respect to the holders of Senior Indebtedness, the Trustee undertakes to perform or observe only such of its covenants and obligations as are specifically set forth in this Article XV, and no implied covenants or obligations with respect to the holders of Senior Indebtedness shall be read into this Indenture against the Trustee. The Trustee shall not be deemed to owe any fiduciary duty to the holders of Senior Indebtedness. The Trustee shall not be liable to any such holder if it shall pay over or distribute to or on behalf of Holders of Securities or the Company, or any other Person, moneys or assets to which any holder of Senior Indebtedness shall be entitled by virtue of this Article XV or otherwise. For the avoidance of doubt, (i) when acting under this Article, the Trustee shall have all of the rights, benefits, privileges, protections and indemnities provided to the Trustee under Article XI of this Indenture, and (ii) the Trustee shall not have any duty to take any discretionary action or exercise any discretionary powers in acting under this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16.01            </w:t>
      </w:r>
      <w:r>
        <w:rPr>
          <w:rFonts w:ascii="Times New Roman;Times;Serif" w:hAnsi="Times New Roman;Times;Serif"/>
          <w:b w:val="false"/>
          <w:i w:val="false"/>
          <w:caps w:val="false"/>
          <w:smallCaps w:val="false"/>
          <w:sz w:val="20"/>
          <w:u w:val="single"/>
        </w:rPr>
        <w:t>Certificates and Opinions as to Conditions Precedent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any request or application by the Company to the Trustee to take any action under any of the provisions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 is specifically required by any provision of this Indenture relating to such particular application or demand, no additional certificate or opinion need be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certificate or opinion provided for in this Indenture and delivered to the Trustee with respect to compliance with a condition or covenant provided for in this Indenture (other than the certificates provided pursuant to Section 6.05 of this Indenture) shall include (i) a statement that the Person giving such certificate or opinion has read such covenant or condition; (ii) a brief statement as to the nature and scope of the examination or investigation upon which the statements or opinions contained in such certificate or opinion are based; (iii) a statement that, in the view or opinion of such Person, he or she has made such examination or investigation as is necessary to enable such Person to express an informed view or opinion as to whether or not such covenant or condition has been complied with; and (iv) a statement as to whether or not, in the view or opinion of such Person, such condition or covenant has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certificate, statement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statement or opinion is based are erroneous. Any certificate, statement or Opinion of Counsel may be based, insofar as it relates to factual matters, upon a certificate, statement or opinion of, or representations by, an Officer or Officers of the Company stating that the information with respect to such factual matters is in the possession of the Company, unless such counsel knows, or in the exercise of reasonable care should know, that the certificate, statement or opinion or representations with respect to such matters are erroneous.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certificate, statement or opinion of an Officer of the Company or of counsel to the Company may be based, insofar as it relates to accounting matters, upon a certificate or opinion of, or representations by, an accountant or firm of accountants, unless such officer or counsel, as the case may be, knows, or in the exercise of reasonable care should know, that the certificate or opinion or representations with respect to the accounting matters upon which his or her certificate, statement or opinion may be based are erroneous. Any certificate or opinion of any firm of independent registered public accountants filed with the Trustee shall contain a statement that such firm is independent.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Where any Person is required to make, give or execute two or more applications, requests, consents, certificates, statements, opinions or other instruments under this Indenture, they may, but need not, be consolidated and form one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16.02            </w:t>
      </w:r>
      <w:r>
        <w:rPr>
          <w:rFonts w:ascii="Times New Roman;Times;Serif" w:hAnsi="Times New Roman;Times;Serif"/>
          <w:b w:val="false"/>
          <w:i w:val="false"/>
          <w:caps w:val="false"/>
          <w:smallCaps w:val="false"/>
          <w:sz w:val="20"/>
          <w:u w:val="single"/>
        </w:rPr>
        <w:t>Trust Indenture Act Controls</w:t>
      </w:r>
      <w:r>
        <w:rPr>
          <w:rFonts w:ascii="Times New Roman;Times;Serif" w:hAnsi="Times New Roman;Times;Serif"/>
          <w:b w:val="false"/>
          <w:i w:val="false"/>
          <w:caps w:val="false"/>
          <w:smallCaps w:val="false"/>
          <w:sz w:val="20"/>
        </w:rPr>
        <w:t>. If and to the extent that any provision of this Indenture limits, qualifies or conflicts with the duties imposed by, or another provision included in this Indenture which is required to be included in this Indenture by any of the provisions of Sections 310 to 318, inclusive, of the Trust Indenture Act, such imposed duties or incorporated provision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16.03            </w:t>
      </w:r>
      <w:r>
        <w:rPr>
          <w:rFonts w:ascii="Times New Roman;Times;Serif" w:hAnsi="Times New Roman;Times;Serif"/>
          <w:b w:val="false"/>
          <w:i w:val="false"/>
          <w:caps w:val="false"/>
          <w:smallCaps w:val="false"/>
          <w:sz w:val="20"/>
          <w:u w:val="single"/>
        </w:rPr>
        <w:t>Notices to the Company and Trustee</w:t>
      </w:r>
      <w:r>
        <w:rPr>
          <w:rFonts w:ascii="Times New Roman;Times;Serif" w:hAnsi="Times New Roman;Times;Serif"/>
          <w:b w:val="false"/>
          <w:i w:val="false"/>
          <w:caps w:val="false"/>
          <w:smallCaps w:val="false"/>
          <w:sz w:val="20"/>
        </w:rPr>
        <w:t>. Any notice or demand authorized by this Indenture to be made upon, given or furnished to, or filed with, the Company or the Trustee shall be sufficiently made, given, furnished or filed for all purposes if it shall be mailed, delivered or telefaxed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at_____________, Attention: _____________, Chief Legal Officer, or at such other address or emails as may have been furnished in writing to the Trustee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at the Corporate Trust Office of the Trustee, Attention: 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notice, demand or other document shall be in the English language.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16.04          </w:t>
      </w:r>
      <w:r>
        <w:rPr>
          <w:rFonts w:ascii="Times New Roman;Times;Serif" w:hAnsi="Times New Roman;Times;Serif"/>
          <w:b w:val="false"/>
          <w:i w:val="false"/>
          <w:caps w:val="false"/>
          <w:smallCaps w:val="false"/>
          <w:sz w:val="20"/>
          <w:u w:val="single"/>
        </w:rPr>
        <w:t>Notices to Securityholders; Waiver</w:t>
      </w:r>
      <w:r>
        <w:rPr>
          <w:rFonts w:ascii="Times New Roman;Times;Serif" w:hAnsi="Times New Roman;Times;Serif"/>
          <w:b w:val="false"/>
          <w:i w:val="false"/>
          <w:caps w:val="false"/>
          <w:smallCaps w:val="false"/>
          <w:sz w:val="20"/>
        </w:rPr>
        <w:t>. Any notice required or permitted to be given to Securityholders shall be sufficiently given (unless otherwise herein expressly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Holders, if given in writing by first class mail, postage prepaid, to such Holders at their addresses as the same shall appear on the Register of the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 series of Securities has been issued in the form of one or more Global Securities through DTC as Depositary, notice may be provided with respect to such series of Securities by delivery of such notice to DTC for posting through its “Legal Notice Service” (LENS) or a successor system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Indenture provides for notice in any manner, such notice may be waived in writing by the Person entitled to receive such notice, either before or after the event, and such waiver shall be the equivalent of such notice. Waivers of notice by Holders shall be delivered to the Trustee, but such delivery shall not be a condition precedent to the validity of any action taken in reliance on such waiver. In any case where notice to Holders is given by mail; neither the failure to mail such notice nor any defect in any notice so mailed to any particular Holder shall affect the sufficiency of such notice with respect to other Holders, and any notice that is mailed in the manner herein provided shall be conclusively presumed to have been duly given. In any case where notice to Holders is given by publication, any defect in any notice so published as to any particular Holder shall not affect the sufficiency of such notice with respect to other Holders, and any notice that is published in the manner herein provided shall be conclusively presumed to have been duly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16.05            </w:t>
      </w:r>
      <w:r>
        <w:rPr>
          <w:rFonts w:ascii="Times New Roman;Times;Serif" w:hAnsi="Times New Roman;Times;Serif"/>
          <w:b w:val="false"/>
          <w:i w:val="false"/>
          <w:caps w:val="false"/>
          <w:smallCaps w:val="false"/>
          <w:sz w:val="20"/>
          <w:u w:val="single"/>
        </w:rPr>
        <w:t>Legal Holiday</w:t>
      </w:r>
      <w:r>
        <w:rPr>
          <w:rFonts w:ascii="Times New Roman;Times;Serif" w:hAnsi="Times New Roman;Times;Serif"/>
          <w:b w:val="false"/>
          <w:i w:val="false"/>
          <w:caps w:val="false"/>
          <w:smallCaps w:val="false"/>
          <w:sz w:val="20"/>
        </w:rPr>
        <w:t>. Unless otherwise specified pursuant to Section 3.01, in any case where any Interest Payment Date, Redemption Date or Maturity of any Security of any series shall not be a Business Day at any Place of Payment for the Securities of that series, then payment of principal and premium, if any, or interest need not be made at such Place of Payment on such date, but may be made on the next succeeding Business Day at such Place of Payment with the same force and effect as if made on such Interest Payment Date, Redemption Date or Maturity and no interest shall accrue on such payment for the period from and after such Interest Payment Date, Redemption Date or Maturity, as the case may be, to such Business Day if such payment is made or duly provided for on such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16.06            </w:t>
      </w:r>
      <w:r>
        <w:rPr>
          <w:rFonts w:ascii="Times New Roman;Times;Serif" w:hAnsi="Times New Roman;Times;Serif"/>
          <w:b w:val="false"/>
          <w:i w:val="false"/>
          <w:caps w:val="false"/>
          <w:smallCaps w:val="false"/>
          <w:sz w:val="20"/>
          <w:u w:val="single"/>
        </w:rPr>
        <w:t>Effects of Headings and Table of Contents</w:t>
      </w:r>
      <w:r>
        <w:rPr>
          <w:rFonts w:ascii="Times New Roman;Times;Serif" w:hAnsi="Times New Roman;Times;Serif"/>
          <w:b w:val="false"/>
          <w:i w:val="false"/>
          <w:caps w:val="false"/>
          <w:smallCaps w:val="false"/>
          <w:sz w:val="20"/>
        </w:rPr>
        <w:t>. The Article and Section headings herein and the Table of Contents are for convenience only and shall not affect the construction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16.07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All covenants and agreements in this Indenture by the parties hereto shall bind their respective successors and assigns and inure to the benefit of their permitted successors and assigns, whether so expressed or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16.08          </w:t>
      </w:r>
      <w:r>
        <w:rPr>
          <w:rFonts w:ascii="Times New Roman;Times;Serif" w:hAnsi="Times New Roman;Times;Serif"/>
          <w:b w:val="false"/>
          <w:i w:val="false"/>
          <w:caps w:val="false"/>
          <w:smallCaps w:val="false"/>
          <w:sz w:val="20"/>
          <w:u w:val="single"/>
        </w:rPr>
        <w:t>Separability Clause</w:t>
      </w:r>
      <w:r>
        <w:rPr>
          <w:rFonts w:ascii="Times New Roman;Times;Serif" w:hAnsi="Times New Roman;Times;Serif"/>
          <w:b w:val="false"/>
          <w:i w:val="false"/>
          <w:caps w:val="false"/>
          <w:smallCaps w:val="false"/>
          <w:sz w:val="20"/>
        </w:rPr>
        <w:t>. In case any provision in this Indenture or in the Securities shall be invalid, illegal or unenforceable, the validity, legality and enforceability of the remaining provisions shall not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16.09          </w:t>
      </w:r>
      <w:r>
        <w:rPr>
          <w:rFonts w:ascii="Times New Roman;Times;Serif" w:hAnsi="Times New Roman;Times;Serif"/>
          <w:b w:val="false"/>
          <w:i w:val="false"/>
          <w:caps w:val="false"/>
          <w:smallCaps w:val="false"/>
          <w:sz w:val="20"/>
          <w:u w:val="single"/>
        </w:rPr>
        <w:t>Benefits of Indenture</w:t>
      </w:r>
      <w:r>
        <w:rPr>
          <w:rFonts w:ascii="Times New Roman;Times;Serif" w:hAnsi="Times New Roman;Times;Serif"/>
          <w:b w:val="false"/>
          <w:i w:val="false"/>
          <w:caps w:val="false"/>
          <w:smallCaps w:val="false"/>
          <w:sz w:val="20"/>
        </w:rPr>
        <w:t>. Nothing in this Indenture expressed and nothing that may be implied from any of the provisions hereof is intended, or shall be construed, to confer upon, or to give to, any Person or corporation other than the parties hereto and their successors and the Holders of the Securities any benefit or any right, remedy or claim under or by reason of this Indenture or any covenant, condition, stipulation, promise or agreement hereof, and all covenants, conditions, stipulations, promises and agreements in this Indenture contained shall be for the sole and exclusive benefit of the parties hereto and their successors and of the Holders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16.10          </w:t>
      </w:r>
      <w:r>
        <w:rPr>
          <w:rFonts w:ascii="Times New Roman;Times;Serif" w:hAnsi="Times New Roman;Times;Serif"/>
          <w:b w:val="false"/>
          <w:i w:val="false"/>
          <w:caps w:val="false"/>
          <w:smallCaps w:val="false"/>
          <w:sz w:val="20"/>
          <w:u w:val="single"/>
        </w:rPr>
        <w:t>Counterparts Originals</w:t>
      </w:r>
      <w:r>
        <w:rPr>
          <w:rFonts w:ascii="Times New Roman;Times;Serif" w:hAnsi="Times New Roman;Times;Serif"/>
          <w:b w:val="false"/>
          <w:i w:val="false"/>
          <w:caps w:val="false"/>
          <w:smallCaps w:val="false"/>
          <w:sz w:val="20"/>
        </w:rPr>
        <w:t>. This Indenture may be executed in any number of counterparts, each of which so executed shall be deemed to be an original, but all such counterparts shall together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16.11          </w:t>
      </w:r>
      <w:r>
        <w:rPr>
          <w:rFonts w:ascii="Times New Roman;Times;Serif" w:hAnsi="Times New Roman;Times;Serif"/>
          <w:b w:val="false"/>
          <w:i w:val="false"/>
          <w:caps w:val="false"/>
          <w:smallCaps w:val="false"/>
          <w:sz w:val="20"/>
          <w:u w:val="single"/>
        </w:rPr>
        <w:t>Governing Law; WAIVER OF TRIAL BY JURY; Submission to Jurisdiction</w:t>
      </w:r>
      <w:r>
        <w:rPr>
          <w:rFonts w:ascii="Times New Roman;Times;Serif" w:hAnsi="Times New Roman;Times;Serif"/>
          <w:b w:val="false"/>
          <w:i w:val="false"/>
          <w:caps w:val="false"/>
          <w:smallCaps w:val="false"/>
          <w:sz w:val="20"/>
        </w:rPr>
        <w:t>. This Indenture and the Securities shall be deemed to be contracts made under the law of the State of New York, and for all purposes shall be governed by and construed in accordance with the law of said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irrevocably and unconditionally submits to the exclusive jurisdiction of any U.S. federal or New York State court located in the Borough of Manhattan, The City of New York over any suit, action or proceeding arising out of or relating to this Indenture or the Securities. The Company irrevocably and unconditionally waives, to the fullest extent permitted by applicable law, any objection to the laying of venue of any such suit, action or proceeding brought in any such court and any claim that any such suit, action or proceeding has been brought in an inconvenient forum. A final judgment in any such suit, action or proceeding brought in any such court shall be conclusive and binding upon the Company and may be enforced in any other courts to whose jurisdiction the Company is or may be subject, by suit upon judgment. The Company further agrees that nothing herein shall affect any Holder’s right to effect service of process in any other manner permitted by law or bring a suit action or proceeding (including a proceeding for enforcement of a judgment) in any other court or jurisdiction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16.12          </w:t>
      </w:r>
      <w:r>
        <w:rPr>
          <w:rFonts w:ascii="Times New Roman;Times;Serif" w:hAnsi="Times New Roman;Times;Serif"/>
          <w:b w:val="false"/>
          <w:i w:val="false"/>
          <w:caps w:val="false"/>
          <w:smallCaps w:val="false"/>
          <w:sz w:val="20"/>
          <w:u w:val="single"/>
        </w:rPr>
        <w:t>Electronic Signatures</w:t>
      </w:r>
      <w:r>
        <w:rPr>
          <w:rFonts w:ascii="Times New Roman;Times;Serif" w:hAnsi="Times New Roman;Times;Serif"/>
          <w:b w:val="false"/>
          <w:i w:val="false"/>
          <w:caps w:val="false"/>
          <w:smallCaps w:val="false"/>
          <w:sz w:val="20"/>
        </w:rPr>
        <w:t>. This Indenture and any certificate, agreement or other document to be signed in connection with this Indenture and the transactions contemplated hereby shall be valid, binding and enforceable against a party only when executed and delivered by an authorized individual on behalf of the party by means of (i) an original manual signature, (ii) a faxed, scanned or photocopied manual signature or (iii) in the case of this Indenture and any certificate, agreement or other document to be signed in connection with this Indenture and the transactions contemplated hereby, other than any Security or Global Security,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 (collectively, “Signature Law”). Each electronic signature (except in the case of any Security or Global Security)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(except in the case of any Security or Global Security), of any party and shall have no duty to investigate, confirm or otherwise verify the validity or authenticity thereof. For avoidance of doubt, original manual signatures shall be used for execution or indorsement of writings when required under the Uniform Commercial Code or other Signature Law due to the character or intended character of the writings. Notwithstanding anything herein to the contrary, the Trustee is under no obligation to agree to accept electronic signatures in any form or in any format unless expressly agreed to by the Trustee pursuant to reasonable procedures approved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16.13          </w:t>
      </w:r>
      <w:r>
        <w:rPr>
          <w:rFonts w:ascii="Times New Roman;Times;Serif" w:hAnsi="Times New Roman;Times;Serif"/>
          <w:b w:val="false"/>
          <w:i w:val="false"/>
          <w:caps w:val="false"/>
          <w:smallCaps w:val="false"/>
          <w:sz w:val="20"/>
          <w:u w:val="single"/>
        </w:rPr>
        <w:t>Force Majeure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epidemics, nuclear or natural catastrophes or acts of God, interruptions, loss or malfunctions of utilities, communications or computer (software and hardware) services, any act or provision of any present or future law or regulation or governmental authority, governmental action or the unavailability of the Federal Reserve Bank wire or facsimile or other wire or communication facility; it being understood that the Trustee shall use reasonable efforts which are consistent with accepted practices in the banking industry to resume performance as soon as practicable under the circumstance.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Indenture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994" w:type="dxa"/>
        <w:jc w:val="left"/>
        <w:tblInd w:w="0" w:type="dxa"/>
        <w:tblLayout w:type="fixed"/>
        <w:tblCellMar>
          <w:top w:w="0" w:type="dxa"/>
          <w:left w:w="0" w:type="dxa"/>
          <w:bottom w:w="0" w:type="dxa"/>
          <w:right w:w="0" w:type="dxa"/>
        </w:tblCellMar>
      </w:tblPr>
      <w:tblGrid>
        <w:gridCol w:w="260"/>
        <w:gridCol w:w="1433"/>
        <w:gridCol w:w="1301"/>
      </w:tblGrid>
      <w:tr>
        <w:trPr/>
        <w:tc>
          <w:tcPr>
            <w:tcW w:w="260"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jc w:val="left"/>
              <w:rPr>
                <w:sz w:val="20"/>
              </w:rPr>
            </w:pPr>
            <w:r>
              <w:rPr>
                <w:sz w:val="20"/>
              </w:rPr>
              <w:t>GEMINI SPACE STATION, INC.,</w:t>
            </w:r>
          </w:p>
          <w:p>
            <w:pPr>
              <w:pStyle w:val="TableContents"/>
              <w:bidi w:val="0"/>
              <w:spacing w:before="0" w:after="283"/>
              <w:jc w:val="left"/>
              <w:rPr>
                <w:sz w:val="20"/>
              </w:rPr>
            </w:pPr>
            <w:r>
              <w:rPr>
                <w:sz w:val="20"/>
              </w:rPr>
              <w:t>as Issuer</w:t>
            </w:r>
          </w:p>
        </w:tc>
      </w:tr>
      <w:tr>
        <w:trPr/>
        <w:tc>
          <w:tcPr>
            <w:tcW w:w="260"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left"/>
              <w:rPr>
                <w:sz w:val="20"/>
              </w:rPr>
            </w:pPr>
            <w:r>
              <w:rPr>
                <w:sz w:val="20"/>
              </w:rPr>
              <w:t>By: </w:t>
            </w:r>
          </w:p>
        </w:tc>
        <w:tc>
          <w:tcPr>
            <w:tcW w:w="130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left"/>
              <w:rPr>
                <w:sz w:val="20"/>
              </w:rPr>
            </w:pPr>
            <w:r>
              <w:rPr>
                <w:sz w:val="20"/>
              </w:rPr>
              <w:t>Name:</w:t>
            </w:r>
          </w:p>
        </w:tc>
        <w:tc>
          <w:tcPr>
            <w:tcW w:w="1301" w:type="dxa"/>
            <w:tcBorders/>
            <w:vAlign w:val="center"/>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left"/>
              <w:rPr>
                <w:sz w:val="20"/>
              </w:rPr>
            </w:pPr>
            <w:r>
              <w:rPr>
                <w:sz w:val="20"/>
              </w:rPr>
              <w:t>Title:</w:t>
            </w:r>
          </w:p>
        </w:tc>
        <w:tc>
          <w:tcPr>
            <w:tcW w:w="1301"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835" w:type="dxa"/>
        <w:jc w:val="left"/>
        <w:tblInd w:w="0" w:type="dxa"/>
        <w:tblLayout w:type="fixed"/>
        <w:tblCellMar>
          <w:top w:w="0" w:type="dxa"/>
          <w:left w:w="0" w:type="dxa"/>
          <w:bottom w:w="0" w:type="dxa"/>
          <w:right w:w="0" w:type="dxa"/>
        </w:tblCellMar>
      </w:tblPr>
      <w:tblGrid>
        <w:gridCol w:w="75"/>
        <w:gridCol w:w="1760"/>
      </w:tblGrid>
      <w:tr>
        <w:trPr/>
        <w:tc>
          <w:tcPr>
            <w:tcW w:w="75"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r>
          </w:p>
        </w:tc>
      </w:tr>
      <w:tr>
        <w:trPr/>
        <w:tc>
          <w:tcPr>
            <w:tcW w:w="75"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tc>
      </w:tr>
    </w:tbl>
    <w:p>
      <w:pPr>
        <w:pStyle w:val="TextBody"/>
        <w:bidi w:val="0"/>
        <w:spacing w:before="0" w:after="283"/>
        <w:jc w:val="left"/>
        <w:rPr/>
      </w:pPr>
      <w:r>
        <w:rPr/>
        <w:t> </w:t>
      </w:r>
    </w:p>
    <w:tbl>
      <w:tblPr>
        <w:tblW w:w="815" w:type="dxa"/>
        <w:jc w:val="left"/>
        <w:tblInd w:w="0" w:type="dxa"/>
        <w:tblLayout w:type="fixed"/>
        <w:tblCellMar>
          <w:top w:w="0" w:type="dxa"/>
          <w:left w:w="0" w:type="dxa"/>
          <w:bottom w:w="0" w:type="dxa"/>
          <w:right w:w="0" w:type="dxa"/>
        </w:tblCellMar>
      </w:tblPr>
      <w:tblGrid>
        <w:gridCol w:w="75"/>
        <w:gridCol w:w="545"/>
        <w:gridCol w:w="19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1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6033d2_ex5-1.htm"/>
      <w:bookmarkStart w:id="24" w:name="kstm2626033d2_ex51"/>
      <w:bookmarkEnd w:id="23"/>
      <w:bookmarkEnd w:id="24"/>
      <w:r>
        <w:rPr/>
        <w:t> </w:t>
      </w:r>
      <w:r>
        <w:br w:type="page"/>
      </w:r>
    </w:p>
    <w:p>
      <w:pPr>
        <w:pStyle w:val="TextBody"/>
        <w:bidi w:val="0"/>
        <w:jc w:val="right"/>
        <w:rPr>
          <w:b/>
        </w:rPr>
      </w:pPr>
      <w:r>
        <w:rPr>
          <w:b/>
        </w:rPr>
        <w:t>Exhibit 5.1</w:t>
      </w:r>
    </w:p>
    <w:p>
      <w:pPr>
        <w:pStyle w:val="TextBody"/>
        <w:bidi w:val="0"/>
        <w:spacing w:before="0" w:after="283"/>
        <w:jc w:val="left"/>
        <w:rPr/>
      </w:pPr>
      <w:r>
        <w:rPr/>
        <w:t> </w:t>
      </w:r>
    </w:p>
    <w:tbl>
      <w:tblPr>
        <w:tblW w:w="7895" w:type="dxa"/>
        <w:jc w:val="left"/>
        <w:tblInd w:w="0" w:type="dxa"/>
        <w:tblLayout w:type="fixed"/>
        <w:tblCellMar>
          <w:top w:w="0" w:type="dxa"/>
          <w:left w:w="0" w:type="dxa"/>
          <w:bottom w:w="0" w:type="dxa"/>
          <w:right w:w="0" w:type="dxa"/>
        </w:tblCellMar>
      </w:tblPr>
      <w:tblGrid>
        <w:gridCol w:w="3735"/>
        <w:gridCol w:w="4160"/>
      </w:tblGrid>
      <w:tr>
        <w:trPr/>
        <w:tc>
          <w:tcPr>
            <w:tcW w:w="3735" w:type="dxa"/>
            <w:tcBorders/>
            <w:vAlign w:val="center"/>
          </w:tcPr>
          <w:p>
            <w:pPr>
              <w:pStyle w:val="TableContents"/>
              <w:bidi w:val="0"/>
              <w:spacing w:before="0" w:after="283"/>
              <w:jc w:val="left"/>
              <w:rPr/>
            </w:pPr>
            <w:r>
              <w:rPr/>
              <w:t> </w:t>
            </w:r>
            <w:r>
              <w:rPr/>
              <w:drawing>
                <wp:inline distT="0" distB="0" distL="0" distR="0">
                  <wp:extent cx="2324100" cy="390525"/>
                  <wp:effectExtent l="0" t="0" r="0" b="0"/>
                  <wp:docPr id="10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2" descr=""/>
                          <pic:cNvPicPr>
                            <a:picLocks noChangeAspect="1" noChangeArrowheads="1"/>
                          </pic:cNvPicPr>
                        </pic:nvPicPr>
                        <pic:blipFill>
                          <a:blip r:embed="rId16"/>
                          <a:stretch>
                            <a:fillRect/>
                          </a:stretch>
                        </pic:blipFill>
                        <pic:spPr bwMode="auto">
                          <a:xfrm>
                            <a:off x="0" y="0"/>
                            <a:ext cx="2324100" cy="390525"/>
                          </a:xfrm>
                          <a:prstGeom prst="rect">
                            <a:avLst/>
                          </a:prstGeom>
                        </pic:spPr>
                      </pic:pic>
                    </a:graphicData>
                  </a:graphic>
                </wp:inline>
              </w:drawing>
            </w:r>
          </w:p>
        </w:tc>
        <w:tc>
          <w:tcPr>
            <w:tcW w:w="4160" w:type="dxa"/>
            <w:tcBorders/>
            <w:vAlign w:val="center"/>
          </w:tcPr>
          <w:p>
            <w:pPr>
              <w:pStyle w:val="TableContents"/>
              <w:bidi w:val="0"/>
              <w:jc w:val="left"/>
              <w:rPr>
                <w:b/>
              </w:rPr>
            </w:pPr>
            <w:r>
              <w:rPr>
                <w:b/>
              </w:rPr>
              <w:t xml:space="preserve">Brownstein Hyatt Farber Schreck, LLP </w:t>
            </w:r>
          </w:p>
          <w:p>
            <w:pPr>
              <w:pStyle w:val="TableContents"/>
              <w:bidi w:val="0"/>
              <w:jc w:val="left"/>
              <w:rPr/>
            </w:pPr>
            <w:r>
              <w:rPr/>
              <w:t>702.382.2101 main</w:t>
            </w:r>
          </w:p>
          <w:p>
            <w:pPr>
              <w:pStyle w:val="TableContents"/>
              <w:bidi w:val="0"/>
              <w:jc w:val="left"/>
              <w:rPr/>
            </w:pPr>
            <w:r>
              <w:rPr/>
              <w:t>100 North City Parkway, Suite 1600</w:t>
            </w:r>
          </w:p>
          <w:p>
            <w:pPr>
              <w:pStyle w:val="TableContents"/>
              <w:bidi w:val="0"/>
              <w:spacing w:before="0" w:after="283"/>
              <w:jc w:val="left"/>
              <w:rPr/>
            </w:pPr>
            <w:r>
              <w:rPr/>
              <w:t>Las Vegas, Nevada 89106</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Gemini Space Station,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 Third Avenue, 2nd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addressee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local Nevada counsel to Gemini Space Station, Inc., a Nevada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filing by the Company of a registration statement on Form S-3, including the base prospectus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contained therein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relating to the registration for offer and sale from time to time by the Company of an indeterminate number of the following securities of the Company, with an aggregate initial offering price of up to $100,000,000: (i) shares (“</w:t>
      </w:r>
      <w:r>
        <w:rPr>
          <w:rFonts w:ascii="Times New Roman;Times;Serif" w:hAnsi="Times New Roman;Times;Serif"/>
          <w:b w:val="false"/>
          <w:i w:val="false"/>
          <w:caps w:val="false"/>
          <w:smallCaps w:val="false"/>
          <w:sz w:val="20"/>
          <w:u w:val="single"/>
        </w:rPr>
        <w:t>Common Shares</w:t>
      </w:r>
      <w:r>
        <w:rPr>
          <w:rFonts w:ascii="Times New Roman;Times;Serif" w:hAnsi="Times New Roman;Times;Serif"/>
          <w:b w:val="false"/>
          <w:i w:val="false"/>
          <w:caps w:val="false"/>
          <w:smallCaps w:val="false"/>
          <w:sz w:val="20"/>
        </w:rPr>
        <w:t>”) of the Company’s Class A common stock, par value $0.001 per share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which Common Shares include any shares of Common Stock issuable upon the (a) conversion or exchange, as applicable, of any Preferred Shares (as defined below) or Debt Securities (as defined below) and (b) exercise of any Warrants (as defined below) to purchase shares of Common Stock; (ii) shares (“</w:t>
      </w:r>
      <w:r>
        <w:rPr>
          <w:rFonts w:ascii="Times New Roman;Times;Serif" w:hAnsi="Times New Roman;Times;Serif"/>
          <w:b w:val="false"/>
          <w:i w:val="false"/>
          <w:caps w:val="false"/>
          <w:smallCaps w:val="false"/>
          <w:sz w:val="20"/>
          <w:u w:val="single"/>
        </w:rPr>
        <w:t>Preferred Shares</w:t>
      </w:r>
      <w:r>
        <w:rPr>
          <w:rFonts w:ascii="Times New Roman;Times;Serif" w:hAnsi="Times New Roman;Times;Serif"/>
          <w:b w:val="false"/>
          <w:i w:val="false"/>
          <w:caps w:val="false"/>
          <w:smallCaps w:val="false"/>
          <w:sz w:val="20"/>
        </w:rPr>
        <w:t>” and, together with Common Shares,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of the Company’s preferred stock, par value $0.001 per share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in one or more series, which Preferred Shares include any shares of Preferred Stock issuable upon the (a) conversion or exchange, as applicable, of any Debt Securities and (b) exercise of any Warrants to purchase shares of Preferred Stock; (iii) depositary shares representing fractional interests in shares of Preferred Stock (“</w:t>
      </w:r>
      <w:r>
        <w:rPr>
          <w:rFonts w:ascii="Times New Roman;Times;Serif" w:hAnsi="Times New Roman;Times;Serif"/>
          <w:b w:val="false"/>
          <w:i w:val="false"/>
          <w:caps w:val="false"/>
          <w:smallCaps w:val="false"/>
          <w:sz w:val="20"/>
          <w:u w:val="single"/>
        </w:rPr>
        <w:t>Depositary Shares</w:t>
      </w:r>
      <w:r>
        <w:rPr>
          <w:rFonts w:ascii="Times New Roman;Times;Serif" w:hAnsi="Times New Roman;Times;Serif"/>
          <w:b w:val="false"/>
          <w:i w:val="false"/>
          <w:caps w:val="false"/>
          <w:smallCaps w:val="false"/>
          <w:sz w:val="20"/>
        </w:rPr>
        <w:t>”), to be issued pursuant to one or more depositary receipts or depositary agreements (each such receipt or agreement, a “</w:t>
      </w:r>
      <w:r>
        <w:rPr>
          <w:rFonts w:ascii="Times New Roman;Times;Serif" w:hAnsi="Times New Roman;Times;Serif"/>
          <w:b w:val="false"/>
          <w:i w:val="false"/>
          <w:caps w:val="false"/>
          <w:smallCaps w:val="false"/>
          <w:sz w:val="20"/>
          <w:u w:val="single"/>
        </w:rPr>
        <w:t>Depositary Agreement</w:t>
      </w:r>
      <w:r>
        <w:rPr>
          <w:rFonts w:ascii="Times New Roman;Times;Serif" w:hAnsi="Times New Roman;Times;Serif"/>
          <w:b w:val="false"/>
          <w:i w:val="false"/>
          <w:caps w:val="false"/>
          <w:smallCaps w:val="false"/>
          <w:sz w:val="20"/>
        </w:rPr>
        <w:t>”), which Depositary Shares include any Depositary Shares issuable upon the exercise of any Warrants to purchase Depositary Shares; (iv) senior or subordinated debt securities (“</w:t>
      </w:r>
      <w:r>
        <w:rPr>
          <w:rFonts w:ascii="Times New Roman;Times;Serif" w:hAnsi="Times New Roman;Times;Serif"/>
          <w:b w:val="false"/>
          <w:i w:val="false"/>
          <w:caps w:val="false"/>
          <w:smallCaps w:val="false"/>
          <w:sz w:val="20"/>
          <w:u w:val="single"/>
        </w:rPr>
        <w:t>Debt Securities</w:t>
      </w:r>
      <w:r>
        <w:rPr>
          <w:rFonts w:ascii="Times New Roman;Times;Serif" w:hAnsi="Times New Roman;Times;Serif"/>
          <w:b w:val="false"/>
          <w:i w:val="false"/>
          <w:caps w:val="false"/>
          <w:smallCaps w:val="false"/>
          <w:sz w:val="20"/>
        </w:rPr>
        <w:t>”), to be issued pursuant to one or more indentures in substantially the form filed as an exhibit to the Registration Statement (each, as amended or supplemented through and including the date of each issuance of Debt Securities, an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including any Debt Securities issuable upon the exercise of any Warrants to purchase Debt Securities; (v) warrants to purchase shares of Common Stock, shares of Preferred Stock or Debt Securities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to be issued pursuant to one or more warrant agreements (each, a “</w:t>
      </w:r>
      <w:r>
        <w:rPr>
          <w:rFonts w:ascii="Times New Roman;Times;Serif" w:hAnsi="Times New Roman;Times;Serif"/>
          <w:b w:val="false"/>
          <w:i w:val="false"/>
          <w:caps w:val="false"/>
          <w:smallCaps w:val="false"/>
          <w:sz w:val="20"/>
          <w:u w:val="single"/>
        </w:rPr>
        <w:t>Warrant Agreement</w:t>
      </w:r>
      <w:r>
        <w:rPr>
          <w:rFonts w:ascii="Times New Roman;Times;Serif" w:hAnsi="Times New Roman;Times;Serif"/>
          <w:b w:val="false"/>
          <w:i w:val="false"/>
          <w:caps w:val="false"/>
          <w:smallCaps w:val="false"/>
          <w:sz w:val="20"/>
        </w:rPr>
        <w:t>”); (vi) subscription rights to purchase shares of Common Stock, shares of Preferred Stock or Debt Securities (“</w:t>
      </w:r>
      <w:r>
        <w:rPr>
          <w:rFonts w:ascii="Times New Roman;Times;Serif" w:hAnsi="Times New Roman;Times;Serif"/>
          <w:b w:val="false"/>
          <w:i w:val="false"/>
          <w:caps w:val="false"/>
          <w:smallCaps w:val="false"/>
          <w:sz w:val="20"/>
          <w:u w:val="single"/>
        </w:rPr>
        <w:t>Subscription Rights</w:t>
      </w:r>
      <w:r>
        <w:rPr>
          <w:rFonts w:ascii="Times New Roman;Times;Serif" w:hAnsi="Times New Roman;Times;Serif"/>
          <w:b w:val="false"/>
          <w:i w:val="false"/>
          <w:caps w:val="false"/>
          <w:smallCaps w:val="false"/>
          <w:sz w:val="20"/>
        </w:rPr>
        <w:t>”), to be evidenced by an applicable subscription rights certificate and issued pursuant to one or more subscription rights agreements or standby underwriting or purchase agreements with one or more underwriters or other purchasers (each, a “</w:t>
      </w:r>
      <w:r>
        <w:rPr>
          <w:rFonts w:ascii="Times New Roman;Times;Serif" w:hAnsi="Times New Roman;Times;Serif"/>
          <w:b w:val="false"/>
          <w:i w:val="false"/>
          <w:caps w:val="false"/>
          <w:smallCaps w:val="false"/>
          <w:sz w:val="20"/>
          <w:u w:val="single"/>
        </w:rPr>
        <w:t>Subscription Rights Agreement</w:t>
      </w:r>
      <w:r>
        <w:rPr>
          <w:rFonts w:ascii="Times New Roman;Times;Serif" w:hAnsi="Times New Roman;Times;Serif"/>
          <w:b w:val="false"/>
          <w:i w:val="false"/>
          <w:caps w:val="false"/>
          <w:smallCaps w:val="false"/>
          <w:sz w:val="20"/>
        </w:rPr>
        <w:t>”); (vii) purchase contracts entitling the holders thereof to purchase from or sell to the Company, and obligating the Company to sell or to purchase from such holders, a specified number of shares of Common Stock, shares of Preferred Stock or Debt Securities at a future date or dates (each, a “</w:t>
      </w:r>
      <w:r>
        <w:rPr>
          <w:rFonts w:ascii="Times New Roman;Times;Serif" w:hAnsi="Times New Roman;Times;Serif"/>
          <w:b w:val="false"/>
          <w:i w:val="false"/>
          <w:caps w:val="false"/>
          <w:smallCaps w:val="false"/>
          <w:sz w:val="20"/>
          <w:u w:val="single"/>
        </w:rPr>
        <w:t>Purchase Contract</w:t>
      </w:r>
      <w:r>
        <w:rPr>
          <w:rFonts w:ascii="Times New Roman;Times;Serif" w:hAnsi="Times New Roman;Times;Serif"/>
          <w:b w:val="false"/>
          <w:i w:val="false"/>
          <w:caps w:val="false"/>
          <w:smallCaps w:val="false"/>
          <w:sz w:val="20"/>
        </w:rPr>
        <w:t>”); and (viii) purchase units (“</w:t>
      </w:r>
      <w:r>
        <w:rPr>
          <w:rFonts w:ascii="Times New Roman;Times;Serif" w:hAnsi="Times New Roman;Times;Serif"/>
          <w:b w:val="false"/>
          <w:i w:val="false"/>
          <w:caps w:val="false"/>
          <w:smallCaps w:val="false"/>
          <w:sz w:val="20"/>
          <w:u w:val="single"/>
        </w:rPr>
        <w:t>Purchase Units</w:t>
      </w:r>
      <w:r>
        <w:rPr>
          <w:rFonts w:ascii="Times New Roman;Times;Serif" w:hAnsi="Times New Roman;Times;Serif"/>
          <w:b w:val="false"/>
          <w:i w:val="false"/>
          <w:caps w:val="false"/>
          <w:smallCaps w:val="false"/>
          <w:sz w:val="20"/>
        </w:rPr>
        <w:t>” and, together with Shares, Depositary Shares, Debt Securities, Warrants, Subscription Rights and Purchase Contracts,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each consisting of a Purchase Contract and debt securities, preferred securities or debt obligations of third parties, including U.S. Treasury securities, or any combination of the foregoing, securing the holders’ obligations to purchase or to sell the securities under the applicable Purchase Contracts, which may be issued pursuant to one or more purchase unit agreements (each, a “</w:t>
      </w:r>
      <w:r>
        <w:rPr>
          <w:rFonts w:ascii="Times New Roman;Times;Serif" w:hAnsi="Times New Roman;Times;Serif"/>
          <w:b w:val="false"/>
          <w:i w:val="false"/>
          <w:caps w:val="false"/>
          <w:smallCaps w:val="false"/>
          <w:sz w:val="20"/>
          <w:u w:val="single"/>
        </w:rPr>
        <w:t>Purchase Unit Agreement</w:t>
      </w:r>
      <w:r>
        <w:rPr>
          <w:rFonts w:ascii="Times New Roman;Times;Serif" w:hAnsi="Times New Roman;Times;Serif"/>
          <w:b w:val="false"/>
          <w:i w:val="false"/>
          <w:caps w:val="false"/>
          <w:smallCaps w:val="false"/>
          <w:sz w:val="20"/>
        </w:rPr>
        <w:t>”). This opinion letter is being delivered at your request pursuant to the requirements of Item 601(b)(5) of Regulation S-K under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www.bhfs.com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Gemini Space Station,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capacity as such counsel, we are familiar with the proceedings taken and proposed to be taken by the Company in connection with the registration of Securities as described in the Registration Statement. For purposes of this opinion letter, and except to the extent set forth in the opinions expressed below, we have assumed that all such proceedings have been or will be timely completed in the manner presently proposed in the Registration Statement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issuing this opinion letter, we have (a) made such legal and factual examinations and inquiries, including an examination of originals or copies certified or otherwise identified to our satisfaction as being true copies, of (i) the Registration Statement, including the Prospectus, (ii) the Company’s articles of incorporation and bylaws, each as amended to date (collectively, the “</w:t>
      </w:r>
      <w:r>
        <w:rPr>
          <w:rFonts w:ascii="Times New Roman;Times;Serif" w:hAnsi="Times New Roman;Times;Serif"/>
          <w:b w:val="false"/>
          <w:i w:val="false"/>
          <w:caps w:val="false"/>
          <w:smallCaps w:val="false"/>
          <w:sz w:val="20"/>
          <w:u w:val="single"/>
        </w:rPr>
        <w:t>Governing Documents</w:t>
      </w:r>
      <w:r>
        <w:rPr>
          <w:rFonts w:ascii="Times New Roman;Times;Serif" w:hAnsi="Times New Roman;Times;Serif"/>
          <w:b w:val="false"/>
          <w:i w:val="false"/>
          <w:caps w:val="false"/>
          <w:smallCaps w:val="false"/>
          <w:sz w:val="20"/>
        </w:rPr>
        <w:t>”), and (iii) such other agreements, instruments, corporate records (including, without limitation, resolutions adopted by the board of directors and any committee thereof, and by the stockholders of the Company) and documents, or forms thereof, as we have deemed necessary or appropriate, and (b) obtained from officers and other representatives and agents of the Company and from public officials, and have relied upon, such certificates, representations, assurances and public filings as we have deemed necessary or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generality of the foregoing, we have, with your permission, assumed without independent verification, that (i) (a) any and all agreements, instruments and other documents (or forms thereof) relating to the offering, issuance, registration or sale of any Securities, including, without limitation, underwriting agreements, Depositary Agreements (including each depositary receipt contemplated thereby), Indentures (including any officer’s certificates or supplemental indentures relating thereto), Warrant Agreements (including each warrant certificate contemplated thereby), Subscription Rights Agreement (including each subscription rights certificate contemplated thereby), Purchase Contracts (including each purchase contract certificate contemplated thereby) and Purchase Unit Agreements (including each purchase unit certificate contemplated thereby) (collectively, the “</w:t>
      </w:r>
      <w:r>
        <w:rPr>
          <w:rFonts w:ascii="Times New Roman;Times;Serif" w:hAnsi="Times New Roman;Times;Serif"/>
          <w:b w:val="false"/>
          <w:i w:val="false"/>
          <w:caps w:val="false"/>
          <w:smallCaps w:val="false"/>
          <w:sz w:val="20"/>
          <w:u w:val="single"/>
        </w:rPr>
        <w:t>Securities Documents</w:t>
      </w:r>
      <w:r>
        <w:rPr>
          <w:rFonts w:ascii="Times New Roman;Times;Serif" w:hAnsi="Times New Roman;Times;Serif"/>
          <w:b w:val="false"/>
          <w:i w:val="false"/>
          <w:caps w:val="false"/>
          <w:smallCaps w:val="false"/>
          <w:sz w:val="20"/>
        </w:rPr>
        <w:t>”), will be duly authorized, executed and delivered by the Company and the other parties thereto; (b) the Company has taken or will take all corporate action required under applicable law in connection with the authorization, offering, issuance and sale of any Securities (including, without limitation, any Securities or other securities of the Company underlying, or issued or sold pursuant to or upon conversion, exchange or exercise of, any Securities or any other agreement, plan or arrangement), (c) all Securities will be offered, issued and sold in compliance with all applicable laws, the Governing Documents and the relevant Securities Documents in effect at all relevant times, (d) the voting rights, designations, preferences, limitations, restrictions, privileges and relative rights of each series of Preferred Stock (including Preferred Shares) will be fixed and set forth in a certificate of designation relating to such series, prepared in the form prescribed by applicable law, duly authorized by the board of directors of the Company, duly signed by an authorized officer of the Company and properly filed with the Nevada Secretary of State (each, a “</w:t>
      </w:r>
      <w:r>
        <w:rPr>
          <w:rFonts w:ascii="Times New Roman;Times;Serif" w:hAnsi="Times New Roman;Times;Serif"/>
          <w:b w:val="false"/>
          <w:i w:val="false"/>
          <w:caps w:val="false"/>
          <w:smallCaps w:val="false"/>
          <w:sz w:val="20"/>
          <w:u w:val="single"/>
        </w:rPr>
        <w:t>Certificate of Designation</w:t>
      </w:r>
      <w:r>
        <w:rPr>
          <w:rFonts w:ascii="Times New Roman;Times;Serif" w:hAnsi="Times New Roman;Times;Serif"/>
          <w:b w:val="false"/>
          <w:i w:val="false"/>
          <w:caps w:val="false"/>
          <w:smallCaps w:val="false"/>
          <w:sz w:val="20"/>
        </w:rPr>
        <w:t>”), and (e) any and all certificates evidencing any Securities will be properly signed, registered and delivered, as necessary, in accordance with all applicable laws, the Governing Documents and the relevant Securities Documents (romanettes (i)(a) through (i)(e), inclusive, above are referred to collectively herein as the “</w:t>
      </w:r>
      <w:r>
        <w:rPr>
          <w:rFonts w:ascii="Times New Roman;Times;Serif" w:hAnsi="Times New Roman;Times;Serif"/>
          <w:b w:val="false"/>
          <w:i w:val="false"/>
          <w:caps w:val="false"/>
          <w:smallCaps w:val="false"/>
          <w:sz w:val="20"/>
          <w:u w:val="single"/>
        </w:rPr>
        <w:t>Corporate Proceedings</w:t>
      </w:r>
      <w:r>
        <w:rPr>
          <w:rFonts w:ascii="Times New Roman;Times;Serif" w:hAnsi="Times New Roman;Times;Serif"/>
          <w:b w:val="false"/>
          <w:i w:val="false"/>
          <w:caps w:val="false"/>
          <w:smallCaps w:val="false"/>
          <w:sz w:val="20"/>
        </w:rPr>
        <w:t>”); (ii) each of the Securities Documents, the form of which has been or will be filed as an exhibit to the Registration Statement, will be executed in substantially the form of such exhibit; (iii) the obligations of each party set forth in the Securities Documents will be its valid and binding obligations, enforceable in accordance with their respective terms; (iv) no Securities will be offered, issued or sold in violation, contravention or breach of, nor will any such offering, issuance or sale result in a default under, the Governing Documents, any agreement, certificate, document or other instrument that is binding upon the Company, or any requirement or restriction imposed by any governmental or regulatory agency, authority or body, or court; (v) immediately after any issuance of Common Shares, the total number of issued and outstanding shares of Common Stock, together with the total number of shares of Common Stock then reserved for issuance or obligated to be issued by the Company pursuant to any agreement, plan or arrangement (including, without limitation, pursuant to the terms of any Securities), or otherwise, will not exceed the total number of shares of Common Stock then authorized under the Company’s articles of incorporation; (vi) at no time will the total number of shares of Preferred Stock designated pursuant to all then-effective Certificates of Designation exceed the total number of shares of Preferred Stock then authorized under the Company’s articles of incorporation; (vii) immediately after any issuance of Preferred Shares, the total number of issued and outstanding shares of such series of Preferred Stock, together with the total number of shares of such series of Preferred Stock then reserved for issuance or obligated to be issued by the Company pursuant to any agreement, plan or arrangement (including, without limitation, pursuant to the terms of any Securities), or otherwise, will not exceed the total number of shares of such series of Preferred Stock then designated under the articles of incorporation or the Certificate of Designation for such series; (viii) the statements of fact and representations and warranties set forth in the documents we have reviewed are, and at all relevant times will be, true and correct as to factual matters; (ix) each natural person executing a document will have sufficient legal capacity to do so; (x) all documents submitted to us as originals are authentic, the signatures on all documents we reviewed are genuine, and any document submitted to us as certified, conformed, photostatic, electronic or facsimile copies conform to the original document; and (xi) all corporate records made available to us by the Company, and all public records we have reviewed, are accurate and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Gemini Space Station,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qualified to practice law in the State of Nevada. The opinions set forth herein are expressly limited to and based exclusively on the general corporate laws of the State of Nevada, and we do not purport to be experts on, or to express any opinion with respect to the applicability thereto or the effect thereon of, the laws of any other jurisdiction. We express no opinion concerning, and we assume no responsibility as to laws or judicial decisions related to, or any orders, consents or other authorizations or approvals as may be required by, any federal laws, rules or regulations, including, without limitation, any federal securities laws, rules or regulations, or any state securities or “blue sky” laws, rules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in reliance thereon, and having regard to legal considerations and other information that we deem relevant, we are of the opinion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and when all Corporate Proceedings have been taken and completed in respect of any offering, issuance or sale of Shares, and to the extent such Shares have been issued in accordance with all applicable terms and conditions set forth in the relevant Securities Documents, Securities and Certificates of Designation, as applicable, including proper conversion, exchange or exercise of any relevant Securities and payment in full of all consideration required therefor as authorized by such Corporate Proceedings and prescribed by such Securities Documents, Securities and Certificates of Designation, as applicable, and in accordance with the proceedings described in and in the manner contemplated by the Registration Statement, such Shares will be duly authorized,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Gemini Space Station,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and when all Corporate Proceedings have been taken and completed in respect of any offering, issuance or sale of Depositary Shares, Debt Securities, Warrants, Subscription Rights, Purchase Contracts or Purchase Units, such Securities will be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herein are based upon the applicable laws of the State of Nevada and the facts in existence on the date of this opinion letter. In delivering this opinion letter to you, we disclaim any obligation to update or supplement the opinions set forth herein or to apprise you of any changes in any laws or facts after the date hereof. No opinion is offered or implied as to any matter, and no inference may be drawn, beyond the strict scope of the specific issues expressly addressed by the opinions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an exhibit to the Registration Statement and to the reference to our firm therein under the heading “Legal Matters”. In giving this consent, we do not admit that we are within the category of persons whose consent is required under Section 7 of the Act or the rules and regulations of the Commission promulgated thereunder. Subject to all of the qualifications, limitations, restrictions, exceptions and assumptions set forth herein, Skadden, Arps, Slate, Meagher &amp; Flom LLP may rely on this opinion letter as if it were an addressee hereof on this date for the sole purpose of issuing its opinion letter to the Company relating to the validity of Securities (other than Shares), as filed with the Commission as an exhibit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Brownstein Hyatt Farber Schreck,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5" w:name="tm2626033d2_ex5-2.htm"/>
      <w:bookmarkStart w:id="26" w:name="kstm2626033d2_ex52"/>
      <w:bookmarkEnd w:id="25"/>
      <w:bookmarkEnd w:id="2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Skadden, Arps, Slate, Meagher &amp; Flom llp</w:t>
      </w:r>
    </w:p>
    <w:tbl>
      <w:tblPr>
        <w:tblW w:w="4030" w:type="dxa"/>
        <w:jc w:val="left"/>
        <w:tblInd w:w="0" w:type="dxa"/>
        <w:tblLayout w:type="fixed"/>
        <w:tblCellMar>
          <w:top w:w="0" w:type="dxa"/>
          <w:left w:w="0" w:type="dxa"/>
          <w:bottom w:w="0" w:type="dxa"/>
          <w:right w:w="0" w:type="dxa"/>
        </w:tblCellMar>
      </w:tblPr>
      <w:tblGrid>
        <w:gridCol w:w="2270"/>
        <w:gridCol w:w="1760"/>
      </w:tblGrid>
      <w:tr>
        <w:trPr/>
        <w:tc>
          <w:tcPr>
            <w:tcW w:w="2270" w:type="dxa"/>
            <w:tcBorders/>
            <w:vAlign w:val="center"/>
          </w:tcPr>
          <w:p>
            <w:pPr>
              <w:pStyle w:val="TableContents"/>
              <w:bidi w:val="0"/>
              <w:jc w:val="center"/>
              <w:rPr>
                <w:caps/>
                <w:sz w:val="20"/>
              </w:rPr>
            </w:pPr>
            <w:r>
              <w:rPr>
                <w:caps/>
                <w:sz w:val="20"/>
              </w:rPr>
              <w:t>One Manhattan West</w:t>
            </w:r>
          </w:p>
          <w:p>
            <w:pPr>
              <w:pStyle w:val="TableContents"/>
              <w:bidi w:val="0"/>
              <w:spacing w:before="0" w:after="283"/>
              <w:jc w:val="center"/>
              <w:rPr>
                <w:caps/>
                <w:sz w:val="20"/>
              </w:rPr>
            </w:pPr>
            <w:r>
              <w:rPr>
                <w:caps/>
                <w:sz w:val="20"/>
              </w:rPr>
              <w:t>New York, NY 10001</w:t>
            </w:r>
          </w:p>
        </w:tc>
        <w:tc>
          <w:tcPr>
            <w:tcW w:w="1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FIRM/AFFILIATE</w:t>
              <w:br/>
              <w:t>OFFICES</w:t>
            </w:r>
          </w:p>
        </w:tc>
      </w:tr>
      <w:tr>
        <w:trPr/>
        <w:tc>
          <w:tcPr>
            <w:tcW w:w="2270" w:type="dxa"/>
            <w:tcBorders/>
            <w:vAlign w:val="center"/>
          </w:tcPr>
          <w:p>
            <w:pPr>
              <w:pStyle w:val="TableContents"/>
              <w:bidi w:val="0"/>
              <w:spacing w:before="60" w:after="60"/>
              <w:ind w:left="60" w:right="60" w:hanging="0"/>
              <w:jc w:val="center"/>
              <w:rPr>
                <w:bdr w:val="single" w:sz="8" w:space="1" w:color="000000"/>
              </w:rPr>
            </w:pPr>
            <w:r>
              <w:rPr>
                <w:bdr w:val="single" w:sz="8" w:space="1" w:color="000000"/>
              </w:rPr>
              <w:t> </w:t>
            </w:r>
          </w:p>
        </w:tc>
        <w:tc>
          <w:tcPr>
            <w:tcW w:w="1760" w:type="dxa"/>
            <w:tcBorders/>
            <w:vAlign w:val="center"/>
          </w:tcPr>
          <w:p>
            <w:pPr>
              <w:pStyle w:val="TableContents"/>
              <w:bidi w:val="0"/>
              <w:spacing w:before="60" w:after="60"/>
              <w:ind w:left="60" w:right="60" w:hanging="0"/>
              <w:jc w:val="center"/>
              <w:rPr>
                <w:caps w:val="false"/>
                <w:smallCaps w:val="false"/>
                <w:bdr w:val="single" w:sz="8" w:space="1" w:color="000000"/>
              </w:rPr>
            </w:pPr>
            <w:r>
              <w:rPr>
                <w:caps w:val="false"/>
                <w:smallCaps w:val="false"/>
                <w:bdr w:val="single" w:sz="8" w:space="1" w:color="000000"/>
              </w:rPr>
              <w:t> </w:t>
            </w:r>
          </w:p>
        </w:tc>
      </w:tr>
      <w:tr>
        <w:trPr/>
        <w:tc>
          <w:tcPr>
            <w:tcW w:w="2270" w:type="dxa"/>
            <w:tcBorders/>
            <w:vAlign w:val="center"/>
          </w:tcPr>
          <w:p>
            <w:pPr>
              <w:pStyle w:val="TableContents"/>
              <w:bidi w:val="0"/>
              <w:spacing w:before="0" w:after="283"/>
              <w:jc w:val="center"/>
              <w:rPr>
                <w:sz w:val="20"/>
              </w:rPr>
            </w:pPr>
            <w:r>
              <w:rPr>
                <w:sz w:val="20"/>
              </w:rPr>
              <w:t>TEL: (212) 735-3000</w:t>
            </w:r>
          </w:p>
        </w:tc>
        <w:tc>
          <w:tcPr>
            <w:tcW w:w="1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w:t>
            </w:r>
          </w:p>
        </w:tc>
      </w:tr>
      <w:tr>
        <w:trPr/>
        <w:tc>
          <w:tcPr>
            <w:tcW w:w="2270" w:type="dxa"/>
            <w:tcBorders/>
            <w:vAlign w:val="center"/>
          </w:tcPr>
          <w:p>
            <w:pPr>
              <w:pStyle w:val="TableContents"/>
              <w:bidi w:val="0"/>
              <w:spacing w:before="0" w:after="283"/>
              <w:jc w:val="center"/>
              <w:rPr>
                <w:sz w:val="20"/>
              </w:rPr>
            </w:pPr>
            <w:r>
              <w:rPr>
                <w:sz w:val="20"/>
              </w:rPr>
              <w:t>FAX: (212) 735-2000</w:t>
            </w:r>
          </w:p>
        </w:tc>
        <w:tc>
          <w:tcPr>
            <w:tcW w:w="1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w:t>
            </w:r>
          </w:p>
        </w:tc>
      </w:tr>
      <w:tr>
        <w:trPr/>
        <w:tc>
          <w:tcPr>
            <w:tcW w:w="2270" w:type="dxa"/>
            <w:tcBorders/>
            <w:vAlign w:val="center"/>
          </w:tcPr>
          <w:p>
            <w:pPr>
              <w:pStyle w:val="TableContents"/>
              <w:bidi w:val="0"/>
              <w:spacing w:before="0" w:after="283"/>
              <w:jc w:val="center"/>
              <w:rPr/>
            </w:pPr>
            <w:r>
              <w:rPr/>
              <w:t> </w:t>
            </w:r>
            <w:r>
              <w:rPr>
                <w:sz w:val="20"/>
              </w:rPr>
              <w:t>www.skadden.com </w:t>
            </w:r>
          </w:p>
        </w:tc>
        <w:tc>
          <w:tcPr>
            <w:tcW w:w="1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w:t>
            </w:r>
          </w:p>
        </w:tc>
      </w:tr>
      <w:tr>
        <w:trPr/>
        <w:tc>
          <w:tcPr>
            <w:tcW w:w="2270" w:type="dxa"/>
            <w:tcBorders/>
            <w:vAlign w:val="center"/>
          </w:tcPr>
          <w:p>
            <w:pPr>
              <w:pStyle w:val="TableContents"/>
              <w:bidi w:val="0"/>
              <w:spacing w:before="0" w:after="283"/>
              <w:jc w:val="center"/>
              <w:rPr/>
            </w:pPr>
            <w:r>
              <w:rPr/>
              <w:t> </w:t>
            </w:r>
          </w:p>
        </w:tc>
        <w:tc>
          <w:tcPr>
            <w:tcW w:w="1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w:t>
            </w:r>
          </w:p>
        </w:tc>
      </w:tr>
      <w:tr>
        <w:trPr/>
        <w:tc>
          <w:tcPr>
            <w:tcW w:w="227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PALO ALTO</w:t>
            </w:r>
          </w:p>
        </w:tc>
      </w:tr>
      <w:tr>
        <w:trPr/>
        <w:tc>
          <w:tcPr>
            <w:tcW w:w="227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w:t>
            </w:r>
          </w:p>
        </w:tc>
      </w:tr>
      <w:tr>
        <w:trPr/>
        <w:tc>
          <w:tcPr>
            <w:tcW w:w="227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w:t>
            </w:r>
          </w:p>
        </w:tc>
      </w:tr>
      <w:tr>
        <w:trPr/>
        <w:tc>
          <w:tcPr>
            <w:tcW w:w="227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60" w:after="60"/>
              <w:ind w:left="60" w:right="60" w:hanging="0"/>
              <w:jc w:val="center"/>
              <w:rPr>
                <w:caps w:val="false"/>
                <w:smallCaps w:val="false"/>
                <w:bdr w:val="single" w:sz="8" w:space="1" w:color="000000"/>
              </w:rPr>
            </w:pPr>
            <w:r>
              <w:rPr>
                <w:caps w:val="false"/>
                <w:smallCaps w:val="false"/>
                <w:bdr w:val="single" w:sz="8" w:space="1" w:color="000000"/>
              </w:rPr>
              <w:t> </w:t>
            </w:r>
          </w:p>
        </w:tc>
      </w:tr>
      <w:tr>
        <w:trPr/>
        <w:tc>
          <w:tcPr>
            <w:tcW w:w="227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ABU DHABI</w:t>
            </w:r>
          </w:p>
        </w:tc>
      </w:tr>
      <w:tr>
        <w:trPr/>
        <w:tc>
          <w:tcPr>
            <w:tcW w:w="227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w:t>
            </w:r>
          </w:p>
        </w:tc>
      </w:tr>
      <w:tr>
        <w:trPr/>
        <w:tc>
          <w:tcPr>
            <w:tcW w:w="227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BRUSSELS</w:t>
            </w:r>
          </w:p>
        </w:tc>
      </w:tr>
      <w:tr>
        <w:trPr/>
        <w:tc>
          <w:tcPr>
            <w:tcW w:w="227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FRANKFURT</w:t>
            </w:r>
          </w:p>
        </w:tc>
      </w:tr>
      <w:tr>
        <w:trPr/>
        <w:tc>
          <w:tcPr>
            <w:tcW w:w="227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tc>
      </w:tr>
      <w:tr>
        <w:trPr/>
        <w:tc>
          <w:tcPr>
            <w:tcW w:w="227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LONDON</w:t>
            </w:r>
          </w:p>
        </w:tc>
      </w:tr>
      <w:tr>
        <w:trPr/>
        <w:tc>
          <w:tcPr>
            <w:tcW w:w="227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MUNICH</w:t>
            </w:r>
          </w:p>
        </w:tc>
      </w:tr>
      <w:tr>
        <w:trPr/>
        <w:tc>
          <w:tcPr>
            <w:tcW w:w="227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PARIS</w:t>
            </w:r>
          </w:p>
        </w:tc>
      </w:tr>
      <w:tr>
        <w:trPr/>
        <w:tc>
          <w:tcPr>
            <w:tcW w:w="227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SÃO PAULO</w:t>
            </w:r>
          </w:p>
        </w:tc>
      </w:tr>
      <w:tr>
        <w:trPr/>
        <w:tc>
          <w:tcPr>
            <w:tcW w:w="227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SEOUL</w:t>
            </w:r>
          </w:p>
        </w:tc>
      </w:tr>
      <w:tr>
        <w:trPr/>
        <w:tc>
          <w:tcPr>
            <w:tcW w:w="227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tc>
      </w:tr>
      <w:tr>
        <w:trPr/>
        <w:tc>
          <w:tcPr>
            <w:tcW w:w="227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TOKYO</w:t>
            </w:r>
          </w:p>
        </w:tc>
      </w:tr>
      <w:tr>
        <w:trPr/>
        <w:tc>
          <w:tcPr>
            <w:tcW w:w="2270" w:type="dxa"/>
            <w:tcBorders/>
            <w:vAlign w:val="center"/>
          </w:tcPr>
          <w:p>
            <w:pPr>
              <w:pStyle w:val="TableContents"/>
              <w:bidi w:val="0"/>
              <w:spacing w:before="0" w:after="283"/>
              <w:jc w:val="right"/>
              <w:rPr>
                <w:sz w:val="20"/>
              </w:rPr>
            </w:pPr>
            <w:r>
              <w:rPr>
                <w:sz w:val="20"/>
              </w:rPr>
              <w:t>October 1, 2026</w:t>
            </w:r>
          </w:p>
        </w:tc>
        <w:tc>
          <w:tcPr>
            <w:tcW w:w="1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Gemini Space Station, Inc.</w:t>
        <w:br/>
        <w:t>600 Third Avenue, 2nd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 751-4401</w:t>
      </w:r>
    </w:p>
    <w:p>
      <w:pPr>
        <w:pStyle w:val="TextBody"/>
        <w:bidi w:val="0"/>
        <w:spacing w:before="0" w:after="0"/>
        <w:ind w:left="0" w:right="0" w:hanging="0"/>
        <w:jc w:val="left"/>
        <w:rPr>
          <w:caps w:val="false"/>
          <w:smallCaps w:val="false"/>
        </w:rPr>
      </w:pPr>
      <w:r>
        <w:rPr>
          <w:caps w:val="false"/>
          <w:smallCaps w:val="false"/>
        </w:rPr>
        <w:t> </w:t>
      </w:r>
    </w:p>
    <w:tbl>
      <w:tblPr>
        <w:tblW w:w="3273" w:type="dxa"/>
        <w:jc w:val="left"/>
        <w:tblInd w:w="0" w:type="dxa"/>
        <w:tblLayout w:type="fixed"/>
        <w:tblCellMar>
          <w:top w:w="0" w:type="dxa"/>
          <w:left w:w="0" w:type="dxa"/>
          <w:bottom w:w="0" w:type="dxa"/>
          <w:right w:w="0" w:type="dxa"/>
        </w:tblCellMar>
      </w:tblPr>
      <w:tblGrid>
        <w:gridCol w:w="38"/>
        <w:gridCol w:w="305"/>
        <w:gridCol w:w="293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20"/>
              </w:rPr>
            </w:pPr>
            <w:r>
              <w:rPr>
                <w:sz w:val="20"/>
              </w:rPr>
              <w:t>Re:</w:t>
            </w:r>
          </w:p>
        </w:tc>
        <w:tc>
          <w:tcPr>
            <w:tcW w:w="2930" w:type="dxa"/>
            <w:tcBorders/>
            <w:vAlign w:val="center"/>
          </w:tcPr>
          <w:p>
            <w:pPr>
              <w:pStyle w:val="TableContents"/>
              <w:bidi w:val="0"/>
              <w:spacing w:before="0" w:after="283"/>
              <w:jc w:val="left"/>
              <w:rPr>
                <w:sz w:val="20"/>
              </w:rPr>
            </w:pPr>
            <w:r>
              <w:rPr>
                <w:sz w:val="20"/>
              </w:rPr>
              <w:t>Gemini Space Station, Inc.</w:t>
              <w:br/>
            </w:r>
            <w:r>
              <w:rPr>
                <w:sz w:val="20"/>
                <w:u w:val="single"/>
              </w:rPr>
              <w:t>Registration Statement on Form S-3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United States counsel to Gemini Space Station, Inc., a corporation organized under the laws of Nevada (the “Company”), in connection with the registration statement on Form S-3 (the “Registration Statement”) to be filed on the date hereof by the Company with the Securities and Exchange Commission (the “Commission”) under the Securities Act of 1933 (the “Securities Act”). The Registration Statement relates to the issuance and sale by the Company from time to time, pursuant to Rule 415 of the General Rules and Regulations of the Commission promulgated under the Securities Act (the “Rules and Regulations”), of (i) shares of Class A common stock, par value $0.001 per share, of the Company (“Common Stock”), (ii) shares of preferred stock, par value $0.001 per share (“Preferred Stock”), which may be issued in one or more series, (iii) depositary receipts (the “Receipts”) representing fractional shares of Preferred Stock, which are called depositary shares (the “Depositary Shares”) and which may be issued pursuant to one or more depositary agreements (each, a “Depositary Agreement”) proposed to be entered into between the Company and one or more bank or trust companies to be named in the applicable Depositary Agreement (each, a “Bank Depositary”), (iv) debt securities of the Company (“Debt Securities”), which may be issued in one or more series under an indenture (the “Indenture”) proposed to be entered into by the Company and the trustee to be named therein, the form of which is filed as an exhibit to the Registration Statement, (v) warrants to purchase shares of Common Stock, shares of Preferred Stock, or Debt Securities (“Warrants”), which may be issued pursuant to one or more warrant agreements (each, a “Warrant Agreement”) proposed to be entered into by the Company and one or more warrant agents to be named therein, (vi) subscription rights to purchase shares of Common Stock, shares of Preferred Stock or Debt Securities (“Subscription Rights”), which may be issued under one or more subscription rights certificates (each, a “Subscription Rights Certificate”) and/or pursuant to one or more subscription rights agreements (each, a “Subscription Rights Agreement”) proposed to be entered into by the Company and one or more subscription agents to be named therein, (vii) purchase contracts (“Purchase Contracts”) obligating the holders thereof to purchase from the Company, and the Company to sell to such holders, shares of Common Stock, shares of Preferred Stock or Debt Securities at a future date or dates, which may be issued pursuant to one or more purchase contract agreements (each, a “Purchase Contract Agreement”) proposed to be entered into by the Company and one or more purchase contract agents to be named therein, (viii) purchase units of the Company (“Purchase Units”), each consisting of a Purchase Contract and either Debt Securities, Preferred Stock or debt obligations of third parties, including U.S. Treasury securities, which may be issued pursuant to one or more agreements (each, a “Purchase Unit Agreement”) proposed to be entered into by the Company and one or more purchase unit agents to be named therein and (ix) such indeterminate number of shares of Common Stock, Preferred Stock or Depositary Shares and indeterminate amount of Debt Securities as may be issued upon conversion, exchange or exercise, as applicable, of any Preferred Stock, Depositary Shares, Debt Securities, Warrants or Subscription Rights or settlement of any Purchase Contracts or Purchase Units, including such shares of Common Stock or Preferred Stock as may be issued pursuant to anti-dilution adjustments determined at the time of offering (collectively, “Indeterminate Securities”). The Depositary Shares, Debt Securities, Warrants, Subscription Rights, Purchase Contracts and Purchase Units offered pursuant to the Registration Statement are collectively referred to herein as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sz w:val="20"/>
        </w:rPr>
        <w:t>Gemini Space Station, Inc.</w:t>
      </w:r>
    </w:p>
    <w:p>
      <w:pPr>
        <w:pStyle w:val="TextBody"/>
        <w:bidi w:val="0"/>
        <w:spacing w:before="0" w:after="0"/>
        <w:ind w:left="0" w:right="0" w:hanging="0"/>
        <w:jc w:val="left"/>
        <w:rPr>
          <w:sz w:val="20"/>
        </w:rPr>
      </w:pPr>
      <w:r>
        <w:rPr>
          <w:sz w:val="20"/>
        </w:rPr>
        <w:t>October 1, 2026</w:t>
      </w:r>
    </w:p>
    <w:p>
      <w:pPr>
        <w:pStyle w:val="TextBody"/>
        <w:bidi w:val="0"/>
        <w:spacing w:before="0" w:after="0"/>
        <w:ind w:left="0" w:right="0" w:hanging="0"/>
        <w:jc w:val="left"/>
        <w:rPr>
          <w:sz w:val="20"/>
        </w:rPr>
      </w:pPr>
      <w:r>
        <w:rPr>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being furnished in accordance with the requirements of Item 601(b)(5) of Regulation S-K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stated herein, we have examined and relied upon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Registration Statement;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form of Indenture filed as an exhibit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stated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opinions stated herein that we did not independently establish or verify, we have relied upon statements and representations of officers and other representatives of the Company and others and of public officials.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express any opinion with respect to the laws of any jurisdiction other than the laws of the State of New York (“Opined-on Law”). We do not express any opinion as to the effect of any non-Opined-on Law on the opinion stated herein. The Securities may be issued from time to time on a delayed or continuous basis, and this opinion letter is limited to the laws, including the rules and regulations, as in effect on the date hereof, which laws are subject to change with possible retroactive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“Transaction Documents” means the Depositary Agreements, the Indenture and the supplemental indentures thereto, the Warrant Agreements, the Subscription Rights Agreements, the Purchase Contract Agreements, the Purchase Unit Agreements and any applicable underwriting or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stated in paragraph 1 through 6 below presume that all of the following (collectively, the “general conditions”) shall have occurred prior to the issuance of any series of the Securities referred to therein: (i) the Registration Statement, as finally amended (including all necessary post-effective amendments), has become effective under the Securities Act; (ii) an appropriate prospectus supplement or term sheet with respect to such Securities has been prepared, delivered and filed in compliance with the Securities Act and the applicable Rules and Regulations; (iii) the applicable Transaction Documents shall have been duly authorized, executed and delivered by the Company and the other parties thereto, including, if such Securities are to be sold or otherwise distributed pursuant to a firm commitment underwritten offering, the underwriting agreement or purchase agreement with respect thereto; (iv) the Board of Directors of the Company, including any duly authorized committee thereof, shall have taken all necessary corporate action to approve the issuance and sale of such Securities and related matters and appropriate officers of the Company have taken all related action as directed by or under the direction of the Board of Directors of the Company; and (v) the terms of the applicable Transaction Documents and the issuance and sale of such Securities have been duly established in conformity with the articles of incorporation of the Company, as amended to date (the “Articles of Incorporation”) so as not to violate any applicable law, the Articles of Incorporation or the bylaws of the Company, as amended to date (the “Bylaws”), or result in a default under or breach of any agreement or instrument binding upon the Company or its properties, and so as to comply with any requirement or restriction imposed by any court or governmental body having jurisdiction over the Company or its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sz w:val="20"/>
        </w:rPr>
        <w:t>Gemini Space Station, Inc.</w:t>
      </w:r>
    </w:p>
    <w:p>
      <w:pPr>
        <w:pStyle w:val="TextBody"/>
        <w:bidi w:val="0"/>
        <w:spacing w:before="0" w:after="0"/>
        <w:ind w:left="0" w:right="0" w:hanging="0"/>
        <w:jc w:val="left"/>
        <w:rPr>
          <w:sz w:val="20"/>
        </w:rPr>
      </w:pPr>
      <w:r>
        <w:rPr>
          <w:sz w:val="20"/>
        </w:rPr>
        <w:t>October 1, 2026</w:t>
      </w:r>
    </w:p>
    <w:p>
      <w:pPr>
        <w:pStyle w:val="TextBody"/>
        <w:bidi w:val="0"/>
        <w:spacing w:before="0" w:after="0"/>
        <w:ind w:left="0" w:right="0" w:hanging="0"/>
        <w:jc w:val="left"/>
        <w:rPr>
          <w:sz w:val="20"/>
        </w:rPr>
      </w:pPr>
      <w:r>
        <w:rPr>
          <w:sz w:val="20"/>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and assumptions stated herein, we are of the opinion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With respect to any Depositary Shares offered by the Company, including any Indeterminate Securities constituting Depositary Shares (the “Offered Depositary Shares”), when (a) the general conditions shall have been satisfied, (b) the Preferred Stock relating to such Offered Depositary Shares has been duly authorized for issuance by the Company; (c) the Offered Depositary Shares have been duly executed, delivered, countersigned, issued and sold in accordance with the provisions of the applicable Depositary Agreement, and the Offered Depositary Shares have been delivered to the Bank Depositary for deposit in accordance with the applicable Depositary Agreement; and (d) the Receipts evidencing the Depositary Shares have been duly issued against deposit of the related shares of Preferred Stock with the Bank Depositary in accordance with the applicable Depositary Agreement, the Offered Depositary Shares evidenced by such Receipts will entitle the registered holder thereof to the rights specified in such Receipt and in the Depositary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With respect to any series of Debt Securities offered by the Company, including any Indeterminate Securities constituting Debt Securities of such series (the “Offered Debt Securities”), when (a) the general conditions shall have been satisfied, (b) the Indenture has been qualified under the Trust Indenture Act of 1939, (c) the issuance, sale and terms of the Offered Debt Securities and related matters have been approved and established in conformity with the applicable Transaction Documents and (d) the certificates evidencing the Offered Debt Securities have been issued in a form that complies with the provisions of the applicable Transaction Documents and have been duly executed and authenticated in accordance with the provisions of the Indenture and any other applicable Transaction Documents and issued and sold or otherwise distributed in accordance with the provisions of the applicable Transaction Document upon payment of the agreed-upon consideration therefor, the Offered Debt Securities will constitute valid and binding obligations of the Company, enforceable against the Company in accordance with their respective terms under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With respect to any Warrants offered by the Company (the “Offered Warrants”), when (a) the general conditions shall have been satisfied, (b) the Common Stock, Preferred Stock and/or Debt Securities for which the Offered Warrants are exercisable have been duly authorized for issuance by the Company and (c) certificates evidencing the Offered Warrants have been duly executed, delivered and countersigned in accordance with the provisions of the applicable Warrant Agreement, the Offered Warrants, when issued and sold or otherwise distributed in accordance with the provisions of the applicable Transaction Document upon payment of the agreed-upon consideration therefor, will constitute valid and binding obligations of the Company, enforceable against the Company in accordance with their respective terms under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With respect to any Subscription Rights offered by the Company (the “Offered Subscription Rights”), when (a) the general conditions shall have been satisfied, (b) the Common Stock, Preferred Stock and/or Debt Securities relating to such Offered Subscription Rights have been duly authorized for issuance by the Company and (c) the Subscription Rights Certificates have been duly executed, delivered and countersigned in accordance with the provisions of the applicable Subscription Rights Agreement, the Offered Subscription Rights, when issued and sold or otherwise distributed in accordance with the provisions of the applicable Transaction Document upon payment of the agreed-upon consideration therefor, will constitute valid and binding obligations of the Company, enforceable against the Company in accordance with their respective terms under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With respect to any Purchase Contracts offered by the Company (the “Offered Purchase Contracts”), when (a) the general conditions shall have been satisfied, (b) the Common Stock, Preferred Stock and/or Debt Securities relating to such Offered Purchase Contracts have been duly authorized for issuance by the Company and (c) the Offered Purchase Contracts have been duly executed, delivered and countersigned in accordance with the provisions of the applicable Purchase Contract Agreement, the Offered Purchase Contracts, when issued and sold or otherwise distributed in accordance with the provisions of the applicable Transaction Document upon payment of the agreed-upon consideration therefor, will constitute valid and binding obligations of the Company, enforceable against the Company in accordance with their respective terms under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sz w:val="20"/>
        </w:rPr>
        <w:t>Gemini Space Station, Inc.</w:t>
      </w:r>
    </w:p>
    <w:p>
      <w:pPr>
        <w:pStyle w:val="TextBody"/>
        <w:bidi w:val="0"/>
        <w:spacing w:before="0" w:after="0"/>
        <w:ind w:left="0" w:right="0" w:hanging="0"/>
        <w:jc w:val="left"/>
        <w:rPr>
          <w:sz w:val="20"/>
        </w:rPr>
      </w:pPr>
      <w:r>
        <w:rPr>
          <w:sz w:val="20"/>
        </w:rPr>
        <w:t>October 1, 2026</w:t>
      </w:r>
    </w:p>
    <w:p>
      <w:pPr>
        <w:pStyle w:val="TextBody"/>
        <w:bidi w:val="0"/>
        <w:spacing w:before="0" w:after="0"/>
        <w:ind w:left="0" w:right="0" w:hanging="0"/>
        <w:jc w:val="left"/>
        <w:rPr>
          <w:sz w:val="20"/>
        </w:rPr>
      </w:pPr>
      <w:r>
        <w:rPr>
          <w:sz w:val="20"/>
        </w:rPr>
        <w:t>Page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With respect to any Purchase Units offered by the Company (the “Offered Purchase Units”), when (a) the general conditions shall have been satisfied, (b) the Purchase Contract and either Debt Securities, Preferred Stock or debt obligations of third parties, including U.S. Treasury securities included in such Offered Purchase Units have been duly authorized for issuance by the Company and (c) certificates evidencing the Offered Purchase Units have been duly executed, delivered and countersigned in accordance with the provisions of the applicable Purchase Unit Agreement, the Offered Purchase Units, when issued and sold or otherwise distributed in accordance with the provisions of the applicable Transaction Document upon payment of the agreed-upon consideration therefor, will constitute valid and binding obligations of the Company, enforceable against the Company in accordance with their respective terms under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stated herein are subject to the following assumptions and qualifications: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we do not express any opinion with respect to the effect on the opinions stated herein of any bankruptcy, insolvency, reorganization, moratorium, fraudulent transfer, preference and other similar laws or governmental orders affecting creditors’ rights generally, and the opinions stated herein are limited by such laws and governmental orders and by general principles of equity (regardless of whether enforcement is sought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we do not express any opinion with respect to any law, rule, regulation or order that is applicable to any party to any of the Transaction Documents or the transactions contemplated thereby solely because such law, rule, regulation or order is part of a regulatory regime applicable to any such party or any of its affiliates as a result of the specific assets or business operations of such party or such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except to the extent expressly stated in the opinions contained herein, we have assumed that each of the Transaction Documents constitutes the valid and binding obligation of each party to such Transaction Document, enforceable against such party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we do not express any opinion with respect to the enforceability of any provision contained in any Transaction Document relating to any indemnification, contribution, non-reliance, exculpation, release, limitation or exclusion of remedies, waiver or other provisions having similar effect that may be contrary to public policy or violative of federal or state securities laws, rules, regulations or orders, or to the extent any such provision purports to waive or alter, or has the effect of waiving or altering, any statute of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we do not express any opinion with respect to the enforceability of any provision of any Transaction Document to the extent that such section purports to bind the Company to the exclusive jurisdiction of any particular federal court or courts;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we call to your attention that irrespective of the agreement of the parties to any Transaction Document,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opinions stated herein are limited to the agreements and documents specifically identified in the opinions contained herein (the “Specified Documents”) without regard to any agreement or other document referenced in any Specified Document (including agreements or other documents incorporated by reference or attached or annexed thereto) and without regard to any other agreement or document relating to any Specified Document that is not a Transaction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we have assumed that any agent of service will have accepted appointment as agent to receive service of process and call to your attention that we do not express any opinion if and to the extent such agent shall resign such appointment. Further, we do not express any opinion with respect to the irrevocability of the designation of such agent to receive service of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sz w:val="20"/>
        </w:rPr>
        <w:t>Gemini Space Station, Inc.</w:t>
      </w:r>
    </w:p>
    <w:p>
      <w:pPr>
        <w:pStyle w:val="TextBody"/>
        <w:bidi w:val="0"/>
        <w:spacing w:before="0" w:after="0"/>
        <w:ind w:left="0" w:right="0" w:hanging="0"/>
        <w:jc w:val="left"/>
        <w:rPr>
          <w:sz w:val="20"/>
        </w:rPr>
      </w:pPr>
      <w:r>
        <w:rPr>
          <w:sz w:val="20"/>
        </w:rPr>
        <w:t>October 1, 2026</w:t>
      </w:r>
    </w:p>
    <w:p>
      <w:pPr>
        <w:pStyle w:val="TextBody"/>
        <w:bidi w:val="0"/>
        <w:spacing w:before="0" w:after="0"/>
        <w:ind w:left="0" w:right="0" w:hanging="0"/>
        <w:jc w:val="left"/>
        <w:rPr>
          <w:sz w:val="20"/>
        </w:rPr>
      </w:pPr>
      <w:r>
        <w:rPr>
          <w:sz w:val="20"/>
        </w:rPr>
        <w:t>Page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shares of Preferred Stock that will be deposited with the Bank Depositary in connection with the issuance of the Offered Depositary Shares will have been duly authorized, validly issued and will be fully paid and nonassessable and that any preemptive rights with respect to such Preferred Stock will have been validly waived or exercised, (ii) such Preferred Stock will be free and clear of any pledge, lien, security interest, charge, claim, equity or encumbrance of any kind or any restriction on transfer or voting, and (iii) certificates for the Preferred Stock will have been duly executed and delivered and will have been properly deposited with the Bank Depositary pursuant to the terms of the Depositary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our opinion addresses only the Offered Depositary Shares and the Receipt issued pursuant to the Depositary Agreement and we express no opinion with respect to the Preferred Stock deposited with the Bank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subsequent to the effectiveness of the Indenture and immediately prior to the issuance of any series of Offered Debt Securities, the Indenture has not been amended, restated, supplemented or otherwise modified in any way that affects or relates to such series of Offered Debt Securities other than by the applicable Transaction Documents relating to such series of Offered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this opinion letter shall be interpreted in accordance with customary practice of United States lawyers who regularly give opinions in transactions of this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we have assumed that the laws of the State of New York will be chosen to govern any Transaction Documents entered into subsequent to the date hereof and that such choice is and will be a valid and legal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we have assumed that the Indenture will be duly authorized, executed and delivered by the trustee in substantially the form reviewed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we do not express any opinion as to the creation, validity, perfection or priority of any security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we do not express any opinion with respect to the enforceability of any provision contained in any Transaction Document providing for indemnity by any party thereto against any loss in obtaining the currency due to such party under any Transaction Document from a court judgment in another currency;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to the extent that any opinion relates to the enforceability of the choice of New York law and choice of New York forum provisions contained in any Transaction Document, the opinions stated herein are subject to the qualification that such enforceability may be subject to, in each case, (i) the exceptions and limitations in New York General Obligations Law Sections 5-1401 and 5-1402 and (ii) principles of comity and constitutionality.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rendering the foregoing opinions we have also assumed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 is duly incorporated and is validly existing and in good standing, (ii) has requisite legal status and legal capacity under the laws of the jurisdiction of its organization and (iii) has complied and will comply with all aspects of the laws of the jurisdiction of its organization in connection with the transactions contemplated by, and the performance of its obligations under,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the corporate power and authority to execute, deliver and perform all its obligations under each of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sz w:val="20"/>
        </w:rPr>
        <w:t>Gemini Space Station, Inc.</w:t>
      </w:r>
    </w:p>
    <w:p>
      <w:pPr>
        <w:pStyle w:val="TextBody"/>
        <w:bidi w:val="0"/>
        <w:spacing w:before="0" w:after="0"/>
        <w:ind w:left="0" w:right="0" w:hanging="0"/>
        <w:jc w:val="left"/>
        <w:rPr>
          <w:sz w:val="20"/>
        </w:rPr>
      </w:pPr>
      <w:r>
        <w:rPr>
          <w:sz w:val="20"/>
        </w:rPr>
        <w:t>October 1, 2026</w:t>
      </w:r>
    </w:p>
    <w:p>
      <w:pPr>
        <w:pStyle w:val="TextBody"/>
        <w:bidi w:val="0"/>
        <w:spacing w:before="0" w:after="0"/>
        <w:ind w:left="0" w:right="0" w:hanging="0"/>
        <w:jc w:val="left"/>
        <w:rPr>
          <w:sz w:val="20"/>
        </w:rPr>
      </w:pPr>
      <w:r>
        <w:rPr>
          <w:sz w:val="20"/>
        </w:rPr>
        <w:t>Page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execution and delivery by the Company of the Transaction Documents nor the performance by the Company of its obligations thereunder, including the issuance and sale of the applicable Securities: (i) conflicts or will conflict with the Articles of Incorporation and Bylaws of the Company, (ii) constitutes or will constitute a violation of, or a default under, any lease, indenture, agreement or other instrument to which the Company or its property is subject, (iii) contravenes or will contravene any order or decree of any governmental authority to which the Company or its property is subject, or (iv) violates or will violate any law, rule or regulation to which the Company or its property is subject (except that we do not make the assumption set forth in this clause (iv) with respect to the Opined-on Law);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execution and delivery by the Company of the Transaction Documents nor the performance by the Company of its obligations thereunder, including the issuance and sale of the applicable Securities, requires or will require the consent, approval, licensing or authorization of, or any filing, recording or registration with, any governmental authority under any law, rule or regulation of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reference to our firm under the heading “Legal Matters” in the prospectus forming part of the Registration Statement. We also hereby consent to the filing of this opinion letter with the Commission as an exhibit to the Registration Statement. In giving this consent, we do not thereby admit that we are within the category of persons whose consent is required under Section 7 of the Securities Act or the Rules and Regulations. This opinion letter is expressed as of the date hereof unless otherwise expressly stated, and we disclaim any undertaking to advise you of any subsequent changes in the facts stated or assumed herein or of any subsequent changes in applicable laws.</w:t>
      </w:r>
    </w:p>
    <w:p>
      <w:pPr>
        <w:pStyle w:val="TextBody"/>
        <w:bidi w:val="0"/>
        <w:spacing w:before="0" w:after="0"/>
        <w:ind w:left="0" w:right="0" w:hanging="0"/>
        <w:jc w:val="left"/>
        <w:rPr>
          <w:caps w:val="false"/>
          <w:smallCaps w:val="false"/>
        </w:rPr>
      </w:pPr>
      <w:r>
        <w:rPr>
          <w:caps w:val="false"/>
          <w:smallCaps w:val="false"/>
        </w:rPr>
        <w:t> </w:t>
      </w:r>
    </w:p>
    <w:tbl>
      <w:tblPr>
        <w:tblW w:w="4625" w:type="dxa"/>
        <w:jc w:val="left"/>
        <w:tblInd w:w="0" w:type="dxa"/>
        <w:tblLayout w:type="fixed"/>
        <w:tblCellMar>
          <w:top w:w="0" w:type="dxa"/>
          <w:left w:w="0" w:type="dxa"/>
          <w:bottom w:w="0" w:type="dxa"/>
          <w:right w:w="0" w:type="dxa"/>
        </w:tblCellMar>
      </w:tblPr>
      <w:tblGrid>
        <w:gridCol w:w="75"/>
        <w:gridCol w:w="4550"/>
      </w:tblGrid>
      <w:tr>
        <w:trPr/>
        <w:tc>
          <w:tcPr>
            <w:tcW w:w="7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both"/>
              <w:rPr/>
            </w:pPr>
            <w:r>
              <w:rPr/>
              <w:t>Very truly yours,</w:t>
            </w:r>
          </w:p>
        </w:tc>
      </w:tr>
      <w:tr>
        <w:trPr/>
        <w:tc>
          <w:tcPr>
            <w:tcW w:w="7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both"/>
              <w:rPr/>
            </w:pPr>
            <w:r>
              <w:rPr/>
              <w:t>/s/ Skadden, Arps, Slate, Meagher &amp; Flom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RJD</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bookmarkStart w:id="27" w:name="tm2626033d2_ex23-1.htm"/>
      <w:bookmarkStart w:id="28" w:name="kstm2626033d2_ex231"/>
      <w:bookmarkEnd w:id="27"/>
      <w:bookmarkEnd w:id="2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S-3 of our report dated March 31, 2026 relating to the financial statements of Gemini Space Station, Inc. appearing in the Annual Report on Form 10-K of Gemini Space Station, Inc. for the year ended December 31, 2025.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DELOITTE &amp; TOUCHE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9" w:name="tm2626033d1_ex-filingfees.htm"/>
      <w:bookmarkStart w:id="30" w:name="kstm2626033d1_exfilingfees"/>
      <w:bookmarkStart w:id="31" w:name="tm2626033d1_ex-filingfees.htm"/>
      <w:bookmarkStart w:id="32" w:name="kstm2626033d1_exfilingfees"/>
      <w:bookmarkEnd w:id="31"/>
      <w:bookmarkEnd w:id="32"/>
      <w:r>
        <w:br w:type="page"/>
      </w:r>
    </w:p>
    <w:tbl>
      <w:tblPr>
        <w:tblW w:w="3577" w:type="dxa"/>
        <w:jc w:val="left"/>
        <w:tblInd w:w="0" w:type="dxa"/>
        <w:tblLayout w:type="fixed"/>
        <w:tblCellMar>
          <w:top w:w="28" w:type="dxa"/>
          <w:left w:w="28" w:type="dxa"/>
          <w:bottom w:w="28" w:type="dxa"/>
          <w:right w:w="28" w:type="dxa"/>
        </w:tblCellMar>
      </w:tblPr>
      <w:tblGrid>
        <w:gridCol w:w="3423"/>
        <w:gridCol w:w="154"/>
      </w:tblGrid>
      <w:tr>
        <w:trPr/>
        <w:tc>
          <w:tcPr>
            <w:tcW w:w="357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3"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3" w:type="dxa"/>
            <w:tcBorders/>
            <w:vAlign w:val="center"/>
          </w:tcPr>
          <w:p>
            <w:pPr>
              <w:pStyle w:val="TableContents"/>
              <w:bidi w:val="0"/>
              <w:spacing w:before="0" w:after="283"/>
              <w:jc w:val="left"/>
              <w:rPr>
                <w:b/>
              </w:rPr>
            </w:pPr>
            <w:r>
              <w:rPr>
                <w:b/>
              </w:rPr>
              <w:t xml:space="preserve">Gemini Space Station,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6034" w:type="dxa"/>
        <w:jc w:val="left"/>
        <w:tblInd w:w="0" w:type="dxa"/>
        <w:tblLayout w:type="fixed"/>
        <w:tblCellMar>
          <w:top w:w="28" w:type="dxa"/>
          <w:left w:w="28" w:type="dxa"/>
          <w:bottom w:w="28" w:type="dxa"/>
          <w:right w:w="28" w:type="dxa"/>
        </w:tblCellMar>
      </w:tblPr>
      <w:tblGrid>
        <w:gridCol w:w="1126"/>
        <w:gridCol w:w="226"/>
        <w:gridCol w:w="1246"/>
        <w:gridCol w:w="1291"/>
        <w:gridCol w:w="1276"/>
        <w:gridCol w:w="1186"/>
        <w:gridCol w:w="1156"/>
        <w:gridCol w:w="1786"/>
        <w:gridCol w:w="100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03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Class A Common Stock, par value $0.001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Preferred Stock, par value $0.001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Debt </w:t>
            </w:r>
          </w:p>
        </w:tc>
        <w:tc>
          <w:tcPr>
            <w:tcW w:w="129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Depositary Shares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Subscription Rights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Purchase Contracts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Purchase Units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$ 100,000,000.00 </w:t>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$ 8,700.00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1246" w:type="dxa"/>
            <w:tcBorders/>
            <w:shd w:fill="E7E7E2" w:val="clear"/>
            <w:vAlign w:val="center"/>
          </w:tcPr>
          <w:p>
            <w:pPr>
              <w:pStyle w:val="TableContents"/>
              <w:bidi w:val="0"/>
              <w:spacing w:before="0" w:after="283"/>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Class A Common Stock, par value $0.001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7,142,857 </w:t>
            </w:r>
          </w:p>
        </w:tc>
        <w:tc>
          <w:tcPr>
            <w:tcW w:w="1156" w:type="dxa"/>
            <w:tcBorders/>
            <w:shd w:fill="E7E7E2" w:val="clear"/>
            <w:vAlign w:val="center"/>
          </w:tcPr>
          <w:p>
            <w:pPr>
              <w:pStyle w:val="TableContents"/>
              <w:bidi w:val="0"/>
              <w:spacing w:before="0" w:after="283"/>
              <w:jc w:val="right"/>
              <w:rPr/>
            </w:pPr>
            <w:r>
              <w:rPr/>
              <w:t xml:space="preserve">$ 5.33 </w:t>
            </w:r>
          </w:p>
        </w:tc>
        <w:tc>
          <w:tcPr>
            <w:tcW w:w="1786" w:type="dxa"/>
            <w:tcBorders/>
            <w:shd w:fill="E7E7E2" w:val="clear"/>
            <w:vAlign w:val="center"/>
          </w:tcPr>
          <w:p>
            <w:pPr>
              <w:pStyle w:val="TableContents"/>
              <w:bidi w:val="0"/>
              <w:spacing w:before="0" w:after="283"/>
              <w:jc w:val="right"/>
              <w:rPr/>
            </w:pPr>
            <w:r>
              <w:rPr/>
              <w:t xml:space="preserve">$ 38,071,427.81 </w:t>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$ 3,312.21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03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3" w:name="MaxAggtOfferingPrice"/>
            <w:bookmarkEnd w:id="33"/>
            <w:r>
              <w:rPr/>
              <w:t xml:space="preserve">$ 138,071,427.81 </w:t>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4" w:name="TotalFeeAmt"/>
            <w:bookmarkEnd w:id="34"/>
            <w:r>
              <w:rPr/>
              <w:t xml:space="preserve">$ 12,012.21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5" w:name="TotalPreviouslyPaidAmt"/>
            <w:bookmarkEnd w:id="3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6" w:name="TotalOffsetAmt"/>
            <w:bookmarkEnd w:id="3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7" w:name="NetFeeAmt"/>
            <w:bookmarkEnd w:id="37"/>
            <w:r>
              <w:rPr/>
              <w:t xml:space="preserve">$ 12,012.21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3"/>
        <w:gridCol w:w="8713"/>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1(a) Gemini Space Station, Inc. (the "Company") is hereby registering an indeterminate amount and number of each applicable identified class of the identified securities up to a proposed maximum aggregate offering price of $100,000,000, which may be offered from time to time at indeterminate prices, including securities that may be purchased by underwriters. The proposed maximum aggregate offering price per class of security will be determined from time to time by the Company in connection with the issuance of the securities registered hereunder and is not specified as to each class of security pursuant to General Instruction II.D of Form S-3 under the Securities Act of 1933, as amended (the "Securities Act"). The Company has estimated the proposed maximum aggregate offering price solely for the purpose of calculating the registration fee pursuant to Rule 457(o) under the Securities Act. 1(b) Pursuant to Rule 416 under the Securities Act, this registration statement shall also cover any additional shares of the registrant's securities that become issuable by reason of any share splits, share dividends or similar transactions. 1(c) Estimated solely for the purpose of calculating the registration fee. No separate consideration will be received for shares of common stock that are issued upon conversion of debt securities or preferred stock or upon exercise of warrants registered hereunder. The aggregate maximum offering price of all securities issued pursuant to the primary offering will not exceed $100,000,000. </w:t>
            </w:r>
          </w:p>
        </w:tc>
      </w:tr>
      <w:tr>
        <w:trPr/>
        <w:tc>
          <w:tcPr>
            <w:tcW w:w="1492" w:type="dxa"/>
            <w:gridSpan w:val="2"/>
            <w:tcBorders/>
            <w:vAlign w:val="center"/>
          </w:tcPr>
          <w:p>
            <w:pPr>
              <w:pStyle w:val="HorizontalLine"/>
              <w:pBdr>
                <w:bottom w:val="double" w:sz="2" w:space="0" w:color="808080"/>
              </w:pBdr>
              <w:bidi w:val="0"/>
              <w:spacing w:before="0" w:after="283"/>
              <w:jc w:val="left"/>
              <w:rPr/>
            </w:pPr>
            <w:r>
              <w:rPr/>
            </w:r>
          </w:p>
        </w:tc>
        <w:tc>
          <w:tcPr>
            <w:tcW w:w="8713"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6" w:type="dxa"/>
            <w:gridSpan w:val="2"/>
            <w:tcBorders/>
            <w:vAlign w:val="center"/>
          </w:tcPr>
          <w:p>
            <w:pPr>
              <w:pStyle w:val="TableContents"/>
              <w:bidi w:val="0"/>
              <w:spacing w:before="0" w:after="283"/>
              <w:jc w:val="left"/>
              <w:rPr/>
            </w:pPr>
            <w:r>
              <w:rPr/>
              <w:t xml:space="preserve">Estimated solely for the purpose of calculating the registration fee pursuant to Rule 457(c) under the Securities Act based on the average of the high and low prices of the Company's Class A Common Stock reported on The Nasdaq Stock Market LLC on September 29, 2026, which was within five business days prior to the date of filing of this registration statement. </w:t>
            </w:r>
          </w:p>
        </w:tc>
      </w:tr>
      <w:tr>
        <w:trPr/>
        <w:tc>
          <w:tcPr>
            <w:tcW w:w="1492" w:type="dxa"/>
            <w:gridSpan w:val="2"/>
            <w:tcBorders/>
            <w:vAlign w:val="center"/>
          </w:tcPr>
          <w:p>
            <w:pPr>
              <w:pStyle w:val="HorizontalLine"/>
              <w:pBdr>
                <w:bottom w:val="double" w:sz="2" w:space="0" w:color="808080"/>
              </w:pBdr>
              <w:bidi w:val="0"/>
              <w:spacing w:before="0" w:after="283"/>
              <w:jc w:val="left"/>
              <w:rPr/>
            </w:pPr>
            <w:r>
              <w:rPr/>
            </w:r>
          </w:p>
        </w:tc>
        <w:tc>
          <w:tcPr>
            <w:tcW w:w="8713"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2055592/000205559226000026/gemi-20251231.htm" TargetMode="External"/><Relationship Id="rId4" Type="http://schemas.openxmlformats.org/officeDocument/2006/relationships/hyperlink" Target="http://www.sec.gov/ix?doc=/Archives/edgar/data/2055592/000205559226000040/gemi-20260430.htm" TargetMode="External"/><Relationship Id="rId5" Type="http://schemas.openxmlformats.org/officeDocument/2006/relationships/hyperlink" Target="http://www.sec.gov/ix?doc=/Archives/edgar/data/2055592/000205559226000050/gemi-20260331.htm" TargetMode="External"/><Relationship Id="rId6" Type="http://schemas.openxmlformats.org/officeDocument/2006/relationships/hyperlink" Target="http://www.sec.gov/ix?doc=/Archives/edgar/data/2055592/000205559226000065/gemi-20260630.htm" TargetMode="External"/><Relationship Id="rId7" Type="http://schemas.openxmlformats.org/officeDocument/2006/relationships/hyperlink" Target="http://www.sec.gov/ix?doc=/Archives/edgar/data/2055592/000205559226000008/gemi-20260205.htm" TargetMode="External"/><Relationship Id="rId8" Type="http://schemas.openxmlformats.org/officeDocument/2006/relationships/hyperlink" Target="http://www.sec.gov/ix?doc=/Archives/edgar/data/2055592/000205559226000015/gemi-20260217.htm" TargetMode="External"/><Relationship Id="rId9" Type="http://schemas.openxmlformats.org/officeDocument/2006/relationships/hyperlink" Target="http://www.sec.gov/ix?doc=/Archives/edgar/data/2055592/000205559226000048/gemi-20260514.htm" TargetMode="External"/><Relationship Id="rId10" Type="http://schemas.openxmlformats.org/officeDocument/2006/relationships/hyperlink" Target="http://www.sec.gov/ix?doc=/Archives/edgar/data/2055592/000205559226000055/gemi-20260615.htm" TargetMode="External"/><Relationship Id="rId11" Type="http://schemas.openxmlformats.org/officeDocument/2006/relationships/hyperlink" Target="http://www.sec.gov/Archives/edgar/data/2055592/000110465925090073/tm255912d37_ex3-1.htm" TargetMode="External"/><Relationship Id="rId12" Type="http://schemas.openxmlformats.org/officeDocument/2006/relationships/hyperlink" Target="http://www.sec.gov/Archives/edgar/data/2055592/000110465925090073/tm255912d37_ex3-2.htm" TargetMode="External"/><Relationship Id="rId13" Type="http://schemas.openxmlformats.org/officeDocument/2006/relationships/hyperlink" Target="http://www.sec.gov/Archives/edgar/data/2055592/000205559225000009/exhibit42gemini-regrightsa.htm" TargetMode="External"/><Relationship Id="rId14" Type="http://schemas.openxmlformats.org/officeDocument/2006/relationships/hyperlink" Target="http://www.sec.gov/Archives/edgar/data/2055592/000205559226000048/gemini-amendmenttoregistra.htm" TargetMode="External"/><Relationship Id="rId15" Type="http://schemas.openxmlformats.org/officeDocument/2006/relationships/hyperlink" Target="http://www.sec.gov/Archives/edgar/data/2055592/000110465925079323/tm255912d13_ex4-1.htm" TargetMode="External"/><Relationship Id="rId16" Type="http://schemas.openxmlformats.org/officeDocument/2006/relationships/image" Target="media/image2.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63731</Words>
  <Characters>328193</Characters>
  <CharactersWithSpaces>396759</CharactersWithSpaces>
  <Paragraphs>3455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