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57.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33">
                <wp:simplePos x="0" y="0"/>
                <wp:positionH relativeFrom="page">
                  <wp:posOffset>3797300</wp:posOffset>
                </wp:positionH>
                <wp:positionV relativeFrom="page">
                  <wp:posOffset>2181860</wp:posOffset>
                </wp:positionV>
                <wp:extent cx="3067050" cy="1371600"/>
                <wp:effectExtent l="0" t="0" r="0" b="0"/>
                <wp:wrapNone/>
                <wp:docPr id="1" name="Frame159"/>
                <a:graphic xmlns:a="http://schemas.openxmlformats.org/drawingml/2006/main">
                  <a:graphicData uri="http://schemas.microsoft.com/office/word/2010/wordprocessingShape">
                    <wps:wsp>
                      <wps:cNvSpPr txBox="1"/>
                      <wps:spPr>
                        <a:xfrm>
                          <a:off x="0" y="0"/>
                          <a:ext cx="3067050" cy="1371600"/>
                        </a:xfrm>
                        <a:prstGeom prst="rect"/>
                        <a:solidFill>
                          <a:srgbClr val="FFFFFF"/>
                        </a:solidFill>
                      </wps:spPr>
                      <wps:txbx>
                        <w:txbxContent>
                          <w:tbl>
                            <w:tblPr>
                              <w:tblW w:w="5062" w:type="dxa"/>
                              <w:jc w:val="left"/>
                              <w:tblInd w:w="0" w:type="dxa"/>
                              <w:tblLayout w:type="fixed"/>
                              <w:tblCellMar>
                                <w:top w:w="28" w:type="dxa"/>
                                <w:left w:w="28" w:type="dxa"/>
                                <w:bottom w:w="28" w:type="dxa"/>
                                <w:right w:w="28" w:type="dxa"/>
                              </w:tblCellMar>
                            </w:tblPr>
                            <w:tblGrid>
                              <w:gridCol w:w="1946"/>
                              <w:gridCol w:w="3116"/>
                            </w:tblGrid>
                            <w:tr>
                              <w:trPr/>
                              <w:tc>
                                <w:tcPr>
                                  <w:tcW w:w="1946"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1946" w:type="dxa"/>
                                  <w:tcBorders/>
                                  <w:vAlign w:val="center"/>
                                </w:tcPr>
                                <w:p>
                                  <w:pPr>
                                    <w:pStyle w:val="TableContents"/>
                                    <w:bidi w:val="0"/>
                                    <w:spacing w:before="0" w:after="283"/>
                                    <w:jc w:val="left"/>
                                    <w:rPr>
                                      <w:sz w:val="4"/>
                                      <w:szCs w:val="4"/>
                                    </w:rPr>
                                  </w:pPr>
                                  <w:r>
                                    <w:rPr>
                                      <w:sz w:val="4"/>
                                      <w:szCs w:val="4"/>
                                    </w:rPr>
                                  </w:r>
                                </w:p>
                              </w:tc>
                              <w:tc>
                                <w:tcPr>
                                  <w:tcW w:w="31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Name:</w:t>
                                  </w:r>
                                </w:p>
                              </w:tc>
                              <w:tc>
                                <w:tcPr>
                                  <w:tcW w:w="31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Title:</w:t>
                                  </w:r>
                                </w:p>
                              </w:tc>
                              <w:tc>
                                <w:tcPr>
                                  <w:tcW w:w="31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1.5pt;height:108pt;mso-wrap-distance-left:0pt;mso-wrap-distance-right:0pt;mso-wrap-distance-top:0pt;mso-wrap-distance-bottom:0pt;margin-top:171.8pt;mso-position-vertical-relative:page;margin-left:299pt;mso-position-horizontal-relative:page">
                <v:textbox>
                  <w:txbxContent>
                    <w:tbl>
                      <w:tblPr>
                        <w:tblW w:w="5062" w:type="dxa"/>
                        <w:jc w:val="left"/>
                        <w:tblInd w:w="0" w:type="dxa"/>
                        <w:tblLayout w:type="fixed"/>
                        <w:tblCellMar>
                          <w:top w:w="28" w:type="dxa"/>
                          <w:left w:w="28" w:type="dxa"/>
                          <w:bottom w:w="28" w:type="dxa"/>
                          <w:right w:w="28" w:type="dxa"/>
                        </w:tblCellMar>
                      </w:tblPr>
                      <w:tblGrid>
                        <w:gridCol w:w="1946"/>
                        <w:gridCol w:w="3116"/>
                      </w:tblGrid>
                      <w:tr>
                        <w:trPr/>
                        <w:tc>
                          <w:tcPr>
                            <w:tcW w:w="1946"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1946" w:type="dxa"/>
                            <w:tcBorders/>
                            <w:vAlign w:val="center"/>
                          </w:tcPr>
                          <w:p>
                            <w:pPr>
                              <w:pStyle w:val="TableContents"/>
                              <w:bidi w:val="0"/>
                              <w:spacing w:before="0" w:after="283"/>
                              <w:jc w:val="left"/>
                              <w:rPr>
                                <w:sz w:val="4"/>
                                <w:szCs w:val="4"/>
                              </w:rPr>
                            </w:pPr>
                            <w:r>
                              <w:rPr>
                                <w:sz w:val="4"/>
                                <w:szCs w:val="4"/>
                              </w:rPr>
                            </w:r>
                          </w:p>
                        </w:tc>
                        <w:tc>
                          <w:tcPr>
                            <w:tcW w:w="31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Name:</w:t>
                            </w:r>
                          </w:p>
                        </w:tc>
                        <w:tc>
                          <w:tcPr>
                            <w:tcW w:w="31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Title:</w:t>
                            </w:r>
                          </w:p>
                        </w:tc>
                        <w:tc>
                          <w:tcPr>
                            <w:tcW w:w="31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171575" cy="504825"/>
                <wp:effectExtent l="0" t="0" r="0" b="0"/>
                <wp:wrapNone/>
                <wp:docPr id="2" name="Frame160"/>
                <a:graphic xmlns:a="http://schemas.openxmlformats.org/drawingml/2006/main">
                  <a:graphicData uri="http://schemas.microsoft.com/office/word/2010/wordprocessingShape">
                    <wps:wsp>
                      <wps:cNvSpPr txBox="1"/>
                      <wps:spPr>
                        <a:xfrm>
                          <a:off x="0" y="0"/>
                          <a:ext cx="1171575" cy="504825"/>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By:</w:t>
                            </w:r>
                          </w:p>
                        </w:txbxContent>
                      </wps:txbx>
                      <wps:bodyPr anchor="t" lIns="0" tIns="0" rIns="0" bIns="0">
                        <a:noAutofit/>
                      </wps:bodyPr>
                    </wps:wsp>
                  </a:graphicData>
                </a:graphic>
              </wp:anchor>
            </w:drawing>
          </mc:Choice>
          <mc:Fallback>
            <w:pict>
              <v:rect style="position:absolute;rotation:-0;width:92.25pt;height:3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By:</w:t>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1171575</wp:posOffset>
                </wp:positionH>
                <wp:positionV relativeFrom="line">
                  <wp:posOffset>635</wp:posOffset>
                </wp:positionV>
                <wp:extent cx="1895475" cy="175260"/>
                <wp:effectExtent l="0" t="0" r="0" b="0"/>
                <wp:wrapNone/>
                <wp:docPr id="3" name="Frame161"/>
                <a:graphic xmlns:a="http://schemas.openxmlformats.org/drawingml/2006/main">
                  <a:graphicData uri="http://schemas.microsoft.com/office/word/2010/wordprocessingShape">
                    <wps:wsp>
                      <wps:cNvSpPr txBox="1"/>
                      <wps:spPr>
                        <a:xfrm>
                          <a:off x="0" y="0"/>
                          <a:ext cx="18954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 Danijela Stojanovic</w:t>
                            </w:r>
                          </w:p>
                        </w:txbxContent>
                      </wps:txbx>
                      <wps:bodyPr anchor="t" lIns="0" tIns="0" rIns="0" bIns="0">
                        <a:noAutofit/>
                      </wps:bodyPr>
                    </wps:wsp>
                  </a:graphicData>
                </a:graphic>
              </wp:anchor>
            </w:drawing>
          </mc:Choice>
          <mc:Fallback>
            <w:pict>
              <v:rect style="position:absolute;rotation:-0;width:149.25pt;height:13.8pt;mso-wrap-distance-left:0pt;mso-wrap-distance-right:0pt;mso-wrap-distance-top:0pt;mso-wrap-distance-bottom:0pt;margin-top:0pt;mso-position-vertical:top;mso-position-vertical-relative:text;margin-left:92.25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 Danijela Stojanovic</w:t>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14,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Gemini Space Station,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263" w:type="dxa"/>
        <w:jc w:val="left"/>
        <w:tblInd w:w="0" w:type="dxa"/>
        <w:tblLayout w:type="fixed"/>
        <w:tblCellMar>
          <w:top w:w="28" w:type="dxa"/>
          <w:left w:w="28" w:type="dxa"/>
          <w:bottom w:w="28" w:type="dxa"/>
          <w:right w:w="28" w:type="dxa"/>
        </w:tblCellMar>
      </w:tblPr>
      <w:tblGrid>
        <w:gridCol w:w="935"/>
        <w:gridCol w:w="821"/>
        <w:gridCol w:w="823"/>
        <w:gridCol w:w="764"/>
        <w:gridCol w:w="764"/>
        <w:gridCol w:w="766"/>
        <w:gridCol w:w="992"/>
        <w:gridCol w:w="992"/>
        <w:gridCol w:w="1406"/>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Nevada</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001-42836</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9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33-3263417</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600 Third Avenue, 2nd Floor</w:t>
            </w:r>
          </w:p>
          <w:p>
            <w:pPr>
              <w:pStyle w:val="TableContents"/>
              <w:bidi w:val="0"/>
              <w:spacing w:lineRule="auto" w:line="288" w:before="0" w:after="2"/>
              <w:jc w:val="center"/>
              <w:rPr/>
            </w:pPr>
            <w:r>
              <w:rPr>
                <w:rFonts w:ascii="Times New Roman;serif" w:hAnsi="Times New Roman;serif"/>
                <w:b/>
                <w:color w:val="000000"/>
                <w:sz w:val="20"/>
              </w:rPr>
              <w:t>New York, NY 10016</w:t>
            </w:r>
            <w:r>
              <w:rPr>
                <w:rFonts w:ascii="Times New Roman;serif" w:hAnsi="Times New Roman;serif"/>
                <w:b/>
                <w:color w:val="000000"/>
                <w:sz w:val="13"/>
              </w:rPr>
              <w:t>1</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(646) 751-4401</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575" w:type="dxa"/>
        <w:jc w:val="left"/>
        <w:tblInd w:w="0" w:type="dxa"/>
        <w:tblLayout w:type="fixed"/>
        <w:tblCellMar>
          <w:top w:w="28" w:type="dxa"/>
          <w:left w:w="28" w:type="dxa"/>
          <w:bottom w:w="28" w:type="dxa"/>
          <w:right w:w="28" w:type="dxa"/>
        </w:tblCellMar>
      </w:tblPr>
      <w:tblGrid>
        <w:gridCol w:w="1582"/>
        <w:gridCol w:w="1391"/>
        <w:gridCol w:w="1391"/>
        <w:gridCol w:w="502"/>
        <w:gridCol w:w="502"/>
        <w:gridCol w:w="502"/>
        <w:gridCol w:w="1085"/>
        <w:gridCol w:w="1085"/>
        <w:gridCol w:w="1535"/>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957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GEMI</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righ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16"/>
        </w:rPr>
        <w:t>We use this address for receiving mail and correspondence to our principal executive office located in New York, 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 xml:space="preserve">Item 1.01    Entry into a Material Definitive Agreement.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14, 2026, Gemini Space Station, Inc. (“Gemini,” the “Company,” “we,” or “us”) entered into a securities purchase agreement (the “Securities Purchase Agreement”) with Winklevoss Capital Fund, LLC (the “Purchaser”) pursuant to which the Company agreed to issue and sell to the Purchaser, in a private placement, 7,142,857 shares of the Company’s Class A common stock, $0.001 par value per share (the “Shares”), at a price of $14.00 per share, for aggregate proceeds to the Company of $100.0 million (the “Private Placement”). The Purchaser delivered to the Company approximately 1,258 Bitcoin as payment-in-kind for the Shares pursuant to the terms of the Securities Purchase Agreement. The Purchaser is the Company's largest existing stockholder and is an entity which is owned and controlled by Cameron and Tyler Winklevoss, the Company's President and Chief Executive Officer, respectively, and each directors of the Company. The Private Placement closed on May 14, 2026.</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Securities Purchase Agreement does not purport to be complete and is qualified in its entirety by reference to the full text of the Securities Purchase Agreement, a copy of which is filed as Exhibit 99.1 hereto and incorporated by reference herein.</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14, 2026, the Company entered into an amendment (the “Amendment”) to its existing Registration Rights Agreement, dated as of September 12, 2025 (the “Existing Registration Rights Agreement”) with the Purchaser pertaining to the Shares, which provides that the Shares are “Registrable Securities” under the Existing Registration Rights Agreement and subject to the demand registration, piggyback registration and shelf registration rights contained therein. The Amendment also lowers the minimum anticipated aggregate offering proceeds threshold, net of Selling Expenses (as defined in the Existing Registration Rights Agreement), required to trigger a Form S-3 demand registration from $75.0 million to $50.0 million.</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Amendment does not purport to be complete and is qualified in its entirety by reference to the full text of the Amendment, a copy of which is filed as Exhibit 99.2 hereto and incorporated by reference herein.</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2026, Gemini issued a press release (the “Q1 2026 Earnings Release”) announcing its financial results for the three months ended March 31, 2026. A copy of the Q1 2026 Earnings Release is furnished as Exhibit 99.3 to this Current Report on Form 8-K. </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3.02    Unregistered Sale of Equity Securities.</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above in Item 1.01 is hereby incorporated by reference into this Item 3.02. Based in part upon the representations of the Purchaser in the Securities Purchase Agreement, the offering and sale of the Shares was exempt from registration under Section 4(a)(2) of the Securities Act of 1933, as amended (the “Securities Act”). The sale of the Shares by the Company in the Private Placement was not registered under the Securities Act or any state securities laws and the Shares may not be offered or sold absent registration with the SEC or an applicable exemption from the registration requirements. The sale of the Shares did not involve a public offering and was made without general solicitation or general advertising. In the Securities Purchase Agreement, the Purchaser represented that it is an accredited investor, as such term is defined in Rule 501(a) of Regulation D under the Securities Act, and it is acquiring the Shares as principal for its own account and not with a view to any distribution or resale of the Shares in violation of the Securities Act or any applicable state securities law.</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announced, Gemini will hold an earnings conference call on May 15, 2026 at 8:30 a.m. E.T. to discuss the Company's earnings results for the three months ended March 31, 2026. A copy of an earnings presentation for the conference call is furnished as Exhibit 99.4 to this Current Report on Form 8-K.</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in Item 2.02, including Exhibit 99.3, and Item 7.01, including Exhibit 99.4, of this Current Report on Form 8-K shall not be deemed “filed” for purposes of Section 18 of the Securities Exchange Act of 1934, as amended (the “Exchange Act”), or otherwise subject to the liabilities of that section, nor shall it be deemed incorporated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reference into any other filing under the Securities Act of 1933, as amended, or the Exchange Act, except as expressly set forth by specific reference in such filing.</w:t>
      </w:r>
    </w:p>
    <w:p>
      <w:pPr>
        <w:pStyle w:val="TextBody"/>
        <w:bidi w:val="0"/>
        <w:spacing w:before="108" w:after="283"/>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108"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6"/>
        <w:gridCol w:w="313"/>
        <w:gridCol w:w="315"/>
        <w:gridCol w:w="109"/>
        <w:gridCol w:w="109"/>
        <w:gridCol w:w="109"/>
        <w:gridCol w:w="2616"/>
        <w:gridCol w:w="2594"/>
        <w:gridCol w:w="3684"/>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684"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9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gemini-spamay2026exhibit.htm">
              <w:r>
                <w:rPr>
                  <w:rStyle w:val="InternetLink"/>
                  <w:rFonts w:ascii="Times New Roman;serif" w:hAnsi="Times New Roman;serif"/>
                  <w:b w:val="false"/>
                  <w:color w:val="0000FF"/>
                  <w:sz w:val="20"/>
                  <w:u w:val="single"/>
                </w:rPr>
                <w:t>Securities Purchase Agreement, dated as of May 14, 2026, by and between Gemini Space Station, Inc. and Winklevoss Capital Fund, LLC.</w:t>
              </w:r>
            </w:hyperlink>
          </w:p>
        </w:tc>
      </w:tr>
      <w:tr>
        <w:trPr/>
        <w:tc>
          <w:tcPr>
            <w:tcW w:w="9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gemini-amendmenttoregistra.htm">
              <w:r>
                <w:rPr>
                  <w:rStyle w:val="InternetLink"/>
                  <w:rFonts w:ascii="Times New Roman;serif" w:hAnsi="Times New Roman;serif"/>
                  <w:b w:val="false"/>
                  <w:color w:val="000080"/>
                  <w:sz w:val="20"/>
                  <w:u w:val="single"/>
                </w:rPr>
                <w:t>Amendment</w:t>
              </w:r>
            </w:hyperlink>
            <w:hyperlink w:anchor="gemini-amendmenttoregistra.htm">
              <w:r>
                <w:rPr>
                  <w:rStyle w:val="InternetLink"/>
                  <w:rFonts w:ascii="Times New Roman;serif" w:hAnsi="Times New Roman;serif"/>
                  <w:b w:val="false"/>
                  <w:color w:val="000080"/>
                  <w:sz w:val="20"/>
                  <w:u w:val="single"/>
                </w:rPr>
                <w:t xml:space="preserve"> No. 1</w:t>
              </w:r>
            </w:hyperlink>
            <w:hyperlink w:anchor="gemini-amendmenttoregistra.htm">
              <w:r>
                <w:rPr>
                  <w:rStyle w:val="InternetLink"/>
                  <w:rFonts w:ascii="Times New Roman;serif" w:hAnsi="Times New Roman;serif"/>
                  <w:b w:val="false"/>
                  <w:color w:val="000080"/>
                  <w:sz w:val="20"/>
                  <w:u w:val="single"/>
                </w:rPr>
                <w:t xml:space="preserve"> to </w:t>
              </w:r>
            </w:hyperlink>
            <w:hyperlink w:anchor="gemini-amendmenttoregistra.htm">
              <w:r>
                <w:rPr>
                  <w:rStyle w:val="InternetLink"/>
                  <w:rFonts w:ascii="Times New Roman;serif" w:hAnsi="Times New Roman;serif"/>
                  <w:b w:val="false"/>
                  <w:color w:val="000080"/>
                  <w:sz w:val="20"/>
                  <w:u w:val="single"/>
                </w:rPr>
                <w:t>Registration Rights Agreement, dated as of May 14, 2026.</w:t>
              </w:r>
            </w:hyperlink>
          </w:p>
        </w:tc>
      </w:tr>
      <w:tr>
        <w:trPr/>
        <w:tc>
          <w:tcPr>
            <w:tcW w:w="9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gemiq12026earningsreleas.htm">
              <w:r>
                <w:rPr>
                  <w:rStyle w:val="InternetLink"/>
                  <w:rFonts w:ascii="Times New Roman;serif" w:hAnsi="Times New Roman;serif"/>
                  <w:b w:val="false"/>
                  <w:color w:val="000080"/>
                  <w:sz w:val="20"/>
                  <w:u w:val="single"/>
                </w:rPr>
                <w:t xml:space="preserve">Q1 2026 </w:t>
              </w:r>
            </w:hyperlink>
            <w:hyperlink w:anchor="gemiq12026earningsreleas.htm">
              <w:r>
                <w:rPr>
                  <w:rStyle w:val="InternetLink"/>
                  <w:rFonts w:ascii="Times New Roman;serif" w:hAnsi="Times New Roman;serif"/>
                  <w:b w:val="false"/>
                  <w:color w:val="000080"/>
                  <w:sz w:val="20"/>
                  <w:u w:val="single"/>
                </w:rPr>
                <w:t>Earnings</w:t>
              </w:r>
            </w:hyperlink>
            <w:hyperlink w:anchor="gemiq12026earningsreleas.htm">
              <w:r>
                <w:rPr>
                  <w:rStyle w:val="InternetLink"/>
                  <w:rFonts w:ascii="Times New Roman;serif" w:hAnsi="Times New Roman;serif"/>
                  <w:b w:val="false"/>
                  <w:color w:val="000080"/>
                  <w:sz w:val="20"/>
                  <w:u w:val="single"/>
                </w:rPr>
                <w:t xml:space="preserve"> Release, dated May 14, 2026.</w:t>
              </w:r>
            </w:hyperlink>
          </w:p>
        </w:tc>
      </w:tr>
      <w:tr>
        <w:trPr/>
        <w:tc>
          <w:tcPr>
            <w:tcW w:w="9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geminiq126earningspresen.htm">
              <w:r>
                <w:rPr>
                  <w:rStyle w:val="InternetLink"/>
                  <w:rFonts w:ascii="Times New Roman;serif" w:hAnsi="Times New Roman;serif"/>
                  <w:b w:val="false"/>
                  <w:color w:val="0000FF"/>
                  <w:sz w:val="20"/>
                  <w:u w:val="single"/>
                </w:rPr>
                <w:t>Q1 2026 Earnings Presentation, dated May 14, 2026.</w:t>
              </w:r>
            </w:hyperlink>
          </w:p>
        </w:tc>
      </w:tr>
      <w:tr>
        <w:trPr/>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8" w:after="283"/>
        <w:jc w:val="left"/>
        <w:rPr/>
      </w:pPr>
      <w:r>
        <w:rPr/>
      </w:r>
    </w:p>
    <w:p>
      <w:pPr>
        <w:pStyle w:val="TextBody"/>
        <w:bidi w:val="0"/>
        <w:spacing w:before="0" w:after="2"/>
        <w:jc w:val="left"/>
        <w:rPr/>
      </w:pPr>
      <w:r>
        <w:rPr/>
      </w:r>
    </w:p>
    <w:p>
      <w:pPr>
        <w:pStyle w:val="TextBody"/>
        <w:bidi w:val="0"/>
        <w:spacing w:before="120" w:after="283"/>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
        <w:jc w:val="left"/>
        <w:rPr/>
      </w:pPr>
      <w:r>
        <w:rPr/>
      </w:r>
    </w:p>
    <w:tbl>
      <w:tblPr>
        <w:tblW w:w="6072"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544"/>
        <w:gridCol w:w="544"/>
        <w:gridCol w:w="544"/>
        <w:gridCol w:w="766"/>
        <w:gridCol w:w="766"/>
        <w:gridCol w:w="11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GEMINI SPACE STATION, INC.</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Danijela Stojanovic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Danijela Stojanovic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righ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gemini-spamay2026exhibit.htm"/>
      <w:bookmarkStart w:id="1" w:name="ksgeminispamay2026exhibit"/>
      <w:bookmarkEnd w:id="0"/>
      <w:bookmarkEnd w:id="1"/>
      <w:r>
        <w:rPr/>
        <w:drawing>
          <wp:inline distT="0" distB="0" distL="0" distR="0">
            <wp:extent cx="10048875" cy="130016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SECURITIES PURCHASE AGREEMENT This Securities Purchase Agreement (this “Agreement”) is dated as of May 14, 2026, between Gemini Space Station, Inc., a Nevada corporation (the “Company”), and Winklevoss Capital Fund, LLC (including its successors and assigns, the “Purchaser”). WHEREAS, subject to the terms and conditions set forth in this Agreement and pursuant to Section 4(a)(2) of the Securities Act, the Company desires to issue and sell to the Purchaser, and the Purchaser, desires to purchase from the Company shares of Class A Common Stock as more fully described in this Agreement; WHEREAS, the Purchaser desires to pay the Aggregate Purchase Price for the Purchaser’s Shares (as defined below) by delivering Bitcoin (“BTC”) to a wallet address designated by the Company, and the Company desires to accept such Bitcoin as payment in-kind for the Shares, all on the terms and conditions set forth herein; NOW, THEREFORE, IN CONSIDERATION of the mutual covenants contained in this Agreement, and for other good and valuable consideration the receipt and adequacy of which are hereby acknowledged, the Company and each Purchaser agree as follows: ARTICLE I DEFINITIONS 1.1 Definitions. In addition to the terms defined elsewhere in this Agreement, for all purposes of this Agreement, the following terms have the meanings set forth in this Section 1.1: “Affiliate” means any Person that, directly or indirectly through one or more intermediaries, controls or is controlled by or is under common control with a Person, as such terms are used in and construed under Rule 405 under the Securities Act. “Aggregate Purchase Price” shall have the meaning ascribed to such term in Section 2.1. “Board of Directors” means the board of directors of the Company. “Bitcoin” or “BTC” means the decentralized digital cryptocurrency maintained on the Bitcoin blockchain network. “BTC Exchange Rate” shall have the meaning ascribed to such term in Section 2.1. “BTC Payment Amount” means the number of Bitcoin to be delivered by the Purchaser to the Company in payment for the Purchaser’s Shares, as calculated by dividing the Aggregate Purchase Price by the BTC Exchange Rate, as set forth on Exhibit A hereto. “Closing” means the closing of the purchase and sale of the Shares pursuant to Section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“Closing Date” means the first Trading Day on or following the date of this Agreement on which all conditions precedent to (i) the Purchaser’s obligations to pay their BTC Payment Amount and (ii) the Company’s obligations to deliver the Shares, in each case, have been satisfied or waived, but in no event later than the second (2nd) Trading Day following the date hereof. “Commission” means the United States Securities and Exchange Commission. “Class A Common Stock” means the Class A Common Stock of the Company, par value $0.001 per share, and any other class of securities into which such securities may hereafter be reclassified or changed. “Class B Common Stock” means the Class B Common Stock of the Company, par value $0.001 per share, and any other class of securities into which such securities may hereafter be reclassified or changed. “Company Counsel” means Skadden, Arps, Slate, Meagher &amp; Flom LLP. “Company Wallet” means the Bitcoin wallet address designated by the Company in writing for receipt of BTC payments hereunder, as set forth on Exhibit A hereto or as otherwise communicated in writing to the Purchaser prior to the Closing. “Designated Blockchain” means the Bitcoin blockchain network. “Exchange Act” means the Securities Exchange Act of 1934, as amended, and the rules and regulations promulgated thereunder. “GAAP” means United States generally accepted accounting principles. “Lien” means a lien, charge, pledge, security interest, encumbrance, right of first refusal, preemptive right or other restriction. “Material Adverse Effect” shall have the meaning assigned to such term in Section 3.1(a). “Price Per Share” shall have the meaning assigned to such term in Section 2.1. “Person” means an individual or corporation, partnership, trust, incorporated or unincorporated association, joint venture, limited liability company, joint stock company, government (or an agency or subdivision thereof) or other entity of any kind. “Proceeding” means an action, claim, suit, investigation or proceeding (including, without limitation, an informal investigation or partial proceeding, such as a deposition), whether commenced or threatened. “Required Approvals” shall have the meaning ascribed to such term in Section 3.1(d). “RRA” shall have the meaning ascribed to such term in Section 4.1(e). “Rule 144” means Rule 144 promulgated by the Commission pursuant to the Securities Act, as such rule may be amended or interpreted from time to time, or any similar rule or regulation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hereafter adopted by the Commission having substantially the same purpose and effect as such rule. “SEC Reports” shall have the meaning ascribed to such term in Section 3.1(f). “Securities Act” means the Securities Act of 1933, as amended, and the rules and regulations promulgated thereunder. “Shares” means the shares of Class A Common Stock issued or issuable to the Purchaser pursuant to this Agreement. “Subsidiary” means any subsidiary of the Company as identified in the SEC Reports, and shall, where applicable, also include any direct or indirect subsidiary of the Company formed or acquired after the date hereof. “Trading Day” means a day on which the principal Trading Market is open for trading. “Trading Market” means the Nasdaq Global Select Market or such other national securities exchange on which the Class A Common Stock is then-listed. “Transaction Blockchain Confirmation” means at least six (6) confirmations of the applicable Bitcoin transaction on the Designated Blockchain. “Transfer Agent” means Equiniti Trust Company, LLC, the transfer agent of the Company as of the date hereof, and any successor transfer agent of the Company. “VWAP” shall have the meaning ascribed to such term in Section 2.1. ARTICLE II PURCHASE AND SALE 2.1 Closing. Upon the terms and subject to the conditions set forth herein, on the Closing Date the Company shall issue and sell to the Purchaser, and the Purchaser shall purchase from the Company, 7,142,857 shares of Class A Common Stock (the “Shares”) in exchange for the BTC Payment Amount, as determined in accordance with this Section 2.1. (a) The aggregate purchase price for the Shares shall be US$100,000,000 (the “Aggregate Purchase Price”). (b) The purchase price per Share (the “Price Per Share) shall be $14.00. (c) The BTC exchange rate (the “BTC Exchange Rate”) shall equal the U.S. Dollar price of one (1) Bitcoin determined as of 4:00 p.m. New York City time on the Trading Day immediately preceding the date of this Agreement, based on the CME CF Bitcoin Reference Rate – New York Variant (BRRNY) (or, if unavailable, another nationally recognized pricing source reasonably agreed by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 The BTC Payment Amount shall equal an amount in Bitcoin determined as follows: (x) the Aggregate Purchase Price divided by (y) the BTC Exchange Rate, as set forth on Exhibit A hereto. The parties acknowledge and agree that the Price Per Share and the BTC Exchange Rate were determined pursuant to the objective pricing mechanisms set forth herein and are final and binding, and shall not be adjusted based on subsequent fluctuations in the market price of the Class A Common Stock or Bitcoin. Upon satisfaction (or waiver) of the covenants and conditions set forth in Sections 2.2 and 2.3, the Closing shall occur at the offices of Company Counsel (or remotely via electronic exchange of documents and signatures) or such other location as the parties shall mutually agree. 2.2 Deliveries. (a) On or prior to the Closing Date, the Company shall deliver or cause to be delivered to each Purchaser the following: (i) the Company Wallet address; and (ii) a copy of irrevocable instructions to the Transfer Agent instructing the Transfer Agent to deliver, at the Closing, the number of Shares to be purchased by the Purchaser pursuant to this Agreement, registered in the name of the Purchaser, in book- entry form. (b) The Purchaser shall deliver the BTC Payment Amount to the Company Wallet on or prior to the Closing Date. For the avoidance of doubt, the Purchaser’s obligation to deliver the BTC Payment Amount shall be satisfied upon the Transaction Blockchain Confirmation of the transfer of the applicable BTC Payment Amount to the Company Wallet. The parties acknowledge and agree that: (i) the BTC Exchange Rate and the BTC Payment Amount have been determined pursuant to Section 2.1 and are reflected on Exhibit A hereto and shall not be adjusted due to subsequent fluctuations in the market price of Bitcoin or the Class A Common Stock; (ii) all network transaction fees (“gas fees” or “miner fees”) incurred in connection with the transfer of Bitcoin to the Company Wallet shall be borne by the Purchaser; (iii) the Purchaser shall not be responsible for any loss, diminution, or fluctuation in the value of Bitcoin following the Transaction Blockchain Confirmation of its transfer to the Company Wallet; (iv) payment shall be deemed received by the Company upon Transaction Blockchain Confirmation, and time of payment shall be determined by reference to the timestamp of the block in which such transaction is first confirmed on the Designated Blockchain;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(v) the Purchaser shall promptly provide the Company with the applicable transaction hash (TXID) following initiation of such Purchaser’s Bitcoin transfer. (c) In the event that a Bitcoin transfer initiated by the Purchaser is not confirmed by Transaction Blockchain Confirmation within 48 hours of initiation, the Company shall extend the Closing Date for a reasonable period (not less than two (2) additional Trading Days) to permit confirmation or reinitiation. If, after such extension, the transfer has not been confirmed, the Company may, at its sole discretion, (i) further extend the Closing Date with respect to the Purchaser, (ii) permit the Purchaser to reinitiate the transfer, or (iii) terminate this Agreement with respect to the Purchaser. 2.3 Closing Conditions. (a) The obligations of the Company hereunder in connection with the Closing are subject to the following conditions being met: (i) the accuracy in all material respects (or, to the extent representations or warranties are qualified by materiality, in all respects) when made and on the Closing Date of the representations and warranties of the Purchaser contained herein (unless as of a specific date therein in which case they shall be accurate as of such date); (ii) all obligations, covenants and agreements of the Purchaser required to be performed at or prior to the Closing Date shall have been performed; and (iii) the delivery by the Purchaser of the items set forth in Section 2.2(b) of this Agreement. (b) The respective obligations of the Purchaser hereunder in connection with the Closing are subject to the following conditions being met: (i)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 (ii) all obligations, covenants and agreements of the Company required to be performed at or prior to the Closing Date shall have been performed; (iii) the delivery by the Company of the items set forth in Section 2.2(a) of this Agreement; (iv) there shall have been no Material Adverse Effect with respect to the Company since the date hereof; (v) the Company shall have filed with The Nasdaq Stock Market LLC a Notification Form: Listing of Additional Shares with respect to the Shares;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(vi) from the date hereof to the Closing Date, trading in the Class A Common Stock shall not have been suspended by the Commission or the Company’s principal Trading Market, and, at any time prior to the Closing Date, trading in securities generally on any nationally recognized securities exchange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Shares at the Closing. ARTICLE III REPRESENTATIONS AND WARRANTIES 3.1 Representations and Warranties of the Company. The Company hereby represents and warrants as of the date hereof and as of the Closing Date to the Purchaser as follows (except to the extent any such representation or warranty is made as of a specific date as set forth therein, in which case it is made solely as of such date): (a) Organization and Qualification.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or (iii) a material adverse effect on the Company’s ability to perform its obligations under this Agreement (any of (i), (ii) or (iii), a “Material Adverse Effect”; provided, however, that changes in the trading price of the Class A Common Stock shall not, in and of themselves constitute a Material Adverse Effect) and no Proceeding has been instituted in any such jurisdiction revoking, limiting or curtailing or seeking to revoke, limit or curtail such power and authority or qualification. (b) Authorization; Enforcement.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is required by the Company, the Board of Directors, any committee of the Board of Directors or the Company’s stockholders in connection herewith other than in connection with the Required Approvals. This Agreement has been duly executed by the Company and constitutes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(c) No Conflicts. The execution, delivery and performance by the Company of this Agreement, the issuance and sale of the Shares and the consummation by the Company of the transactions contemplated 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 (d) Filings, Consents and Approvals.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Agreement, other than: (i) the Current Report on Form 8-K contemplated by Section 4.4 of this Agreement, (ii) such filings as may be required to be made under applicable state securities laws, and (iii) any notifications, applications, or filings required by the Trading Market (collectively, the “Required Approvals”). (e) Issuance of the Shares. The Shares are duly authorized and, when issued and paid for in accordance with this Agreement, will be duly and validly issued, fully paid and nonassessable, free and clear of all Liens imposed by the Company, other than restrictions on transfer provided for in this Agreement. (f) SEC Reports. The Company has filed all reports, schedules, forms, statements and other documents required to be filed by the Company under the Securities Act and the Exchange Act, including pursuant to Section 13(a) or 15(d) of the Exchange Act, for the two years preceding the date hereof (or such shorter period as the Company was required by law or regulation to file such material) (the foregoing materials, including the exhibits thereto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documents incorporated by reference therein, being collectively referred to herein as the “SEC Reports”).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(g) Material Changes; Undisclosed Liabilities. Since the date of the most recent financial statements included within the SEC Reports, except as set forth in the SEC Reports, (i) there has been no event, occurrence or development that has had or that would reasonably be expected to result in a Material Adverse Effect, (ii) the Company has not incurred any liabilities (contingent or otherwise) other than (A) payables and other accrued expenses incurred in the ordinary course of business consistent with past practice and (B) liabilities not required to be reflected in the Company’s financial statements pursuant to GAAP or disclosed in filings made with the Commission. (h) Certain Fees. No brokerage or finder’s fees or commissions are or will be payable by the Company or any Subsidiary to any broker, financial advisor or consultant, finder, placement agent, investment banker, bank or other Person with respect to the transactions contemplated by this Agreement. The Purchaser shall have no obligation with respect to any fees or with respect to any claims made by or on behalf of other Persons for fees of a type contemplated in this Section that may be due in connection with the transactions contemplated by this Agreement. (i) Private Placement. Assuming the accuracy of the Purchaser’s representations and warranties set forth in Section 3.2, the offer and sale of the Shares by the Company to the Purchaser as contemplated hereby is exempt from the registration requirements of the Securities Act. The issuance and sale of the Shares hereunder will comply in all material respects with the rules and regulations of the Trading Market, and the Company has taken (or prior to Closing will take) all actions required to be taken by it to effect such compliance, including obtaining any Required Approvals. (j) Investment Company. The Company is not, and immediately after receipt of payment for the Shares, will not be, an “investment company” within the meaning of the Investment Company Act of 1940, as amended. The Company shall conduct its business in a manner so that it will not become an “investment company” subject to registration under the Investment Company Act of 1940, as amended. (k) No Integrated Offering.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(to the extent such securities were not already so registered), or (ii) any applicable shareholder approval provisions of any Trading Market on which any of the securities of the Company are listed or designated.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(l) No General Solicitation. Neither the Company nor any Person acting on its behalf has conducted any general solicitation or general advertising (as those terms are used in Regulation D) in connection with the offer or sale of any of the Shares. (m) Bitcoin Wallet. The Company Wallet is owned and controlled solely by the Company (or a custodian acting on its behalf), and the Company has the sole authority to access and manage the Bitcoin held therein. The Company Wallet is not subject to any Lien or encumbrance, and the Company has implemented commercially reasonable security measures with respect to the Company Wallet. 3.2 Representations and Warranties of the Purchaser. The Purchaser hereby represents and warrants as of the date hereof and as of the Closing Date to the Company as follows (except to the extent any such representation or warranty is made as of a specific date as set forth therein, in which case it is made solely as of such date): (a) Organization; Authority. The Purchaser is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otherwise to carry out its obligations hereunder. The execution and delivery of this Agreement and performance by the Purchaser of the transactions contemplated by this Agreement have been duly authorized by all necessary corporate, partnership, limited liability company or similar action, as applicable, on the part of the Purchaser. This Agreement has been duly executed by the Purchaser and constitutes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(b) Own Account. The Purchaser understands that the Shares are “restricted securities” and have not been registered under the Securities Act or any applicable state securities law and the Purchaser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the Purchaser’s right to sell the Shares in compliance with applicable federal and state securities laws). The Purchaser is acquiring the Shares hereunder in the ordinary course of its business. (c) Purchaser Status. At the time the Purchaser was offered the Shares, it was, and as of the date hereof it is either: (i) an “accredited investor” as defined in Rule 501(a)(1), (a)(2), (a)(3), (a)(7) or (a)(8) under the Securities Act or (ii) a “qualified institutional buyer” as defined in Rule 144A(a) under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(d) Experience of the Purchaser. The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 (e) No Government Recommendation or Approval. The Purchaser understands that no United States federal or state agency, or similar agency of any other country, has reviewed, approved, passed upon, or made any recommendation or endorsement of the Company or the purchase of the Shares. (f) Residency. The Purchaser is a resident of the jurisdiction specified below its address on the Purchaser’s signature page hereto. (g) Brokers and Finders. No Person will have, as a result of the transactions contemplated by this Agreement, any valid right, interest or claim against or upon the Company or the Purchaser for any commission, fee or other compensation pursuant to any agreement, arrangement or understanding entered into by or on behalf of the Purchaser. (h) General Solicitation. The Purchaser is not purchasing the Shares as a result of any advertisement, article, notice or other communication regarding the Shares published in any newspaper, magazine or similar media or broadcast over television or radio or presented at any seminar or, to the knowledge of the Purchaser, any other general solicitation or general advertisement. (i) Access to Information. The Purchaser acknowledges that it has had the opportunity to review this Agreement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The Company acknowledges and agrees that the representations contained in Section 3.2 shall not modify, amend or affect the Purchaser’s right to rely on the Company’s representations and warranties contained in this Agreement or any other document or instrument executed and/or delivered in connection with this Agreement or the consummation of the transactions contemplated hereby. (j) Bitcoin Representations and Warranties. The Purchaser hereby represents and warrants that: (i) all Bitcoin to be delivered in connection with this transaction (i) have been lawfully acquired, (ii) are not derived from, nor have they been used in connection with, any activity that violates any applicable law, regulation or statute,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including but not limited to anti-money laundering laws, sanctions laws, and anti- corruption laws, and (iii) are not the proceeds of any criminal activity, including fraud, theft, drug trafficking, human trafficking, or any conduct constituting a predicate offense to money laundering; (ii) the Purchaser is the sole beneficial owner of the Bitcoin to be delivered hereunder, with full right, power, and authority to transfer such Bitcoin, free and clear of any Liens; (iii) the Bitcoin wallet from which the Purchaser will transfer the BTC Payment Amount is owned and controlled solely by the Purchaser (or a custodian acting on its behalf), and is not subject to any Lien, restriction or claim of any third party; (iv) neither the Purchaser nor any of its Affiliates is a Person (or owned or controlled by a Person) that is (i) the subject or target of any sanctions administered or enforced by the U.S. Department of Treasury’s Office of Foreign Assets Control (“OFAC”), the U.S. Department of State, the United Nations Security Council, the European Union, or other relevant sanctions authority (collectively, “Sanctions”), or (ii) located, organized, or resident in a country or territory that is the subject of comprehensive Sanctions (including Cuba, Iran, North Korea, Syria, and the Crimea, Donetsk, and Luhansk regions); (v) the Purchaser has not, directly or indirectly, used any Bitcoin, or lent, contributed or otherwise made available any Bitcoin, to any Subsidiary, joint venture partner or other Person, in any manner that would result in a violation of any Sanctions by any Person; and (vi) the Purchaser shall maintain detailed records of the Bitcoin transactions under this Agreement and shall provide transaction IDs and blockchain confirmations to the Company upon request. ARTICLE IV OTHER AGREEMENTS OF THE PARTIES 4.1 Transfer Restrictions and Registration Rights. (a) The Shares may only be disposed of in compliance with state and federal securities laws. In connection with any transfer of Shares other than pursuant to an effective registration statement or Rule 144, to the Company or to an Affiliate of the Purchaser without the payment of consideration,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and obligations of the Purchaser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 The Purchaser agrees to the imprinting, so long as is required by this Section 4.1, of a legend on any of the Shares in substantially the following form: THESE SECURITIES HAVE NOT BEEN REGISTERED UNDER THE U.S. SECURITIES ACT OF 1933, AS AMENDED (THE “SECURITIES ACT”) OR ANY APPLICABLE STATE SECURITIES LAWS AND ARE RESTRICTED SECURITIES, AS THAT TERM IS DEFINED IN RULE 144 UNDER THE SECURITIES ACT. THESE SECURITIES MAY NOT BE OFFERED FOR SALE, SOLD, PLEDGED OR OTHERWISE TRANSFERRED AT ANY TIME EXCEPT PURSUANT TO AN EFFECTIVE REGISTRATION STATEMENT OR QUALIFICATION UNDER THE SECURITIES ACT AND APPLICABLE STATE SECURITIES LAWS OR PURSUANT TO AN EXEMPTION FROM REGISTRATION UNDER, OR PREEMPTION OF, THE SECURITIES ACT AND APPLICABLE STATE SECURITIES LAWS, THE AVAILABILITY OF WHICH IS TO BE ESTABLISHED TO THE SATISFACTION OF THE COMPANY. (c) Upon the written request of the Purchaser, any legend (including the legend set forth in Section 4.1(b) hereof) on the Shares held by the Purchaser shall be removed (i) while a registration statement covering the resale of such Shares is effective under the Securities Act, (ii) following any sale of such Shares pursuant to Rule 144, (iii) if such Shares are eligible for sale under Rule 144 without restriction or limitation pursuant to Rule 144 and without the requirement for the Company to be in compliance with Rule 144(c)(1), or (iv) if such legend is not required under applicable requirements of the Securities Act (including judicial interpretations and pronouncements issued by the staff of the Commission), subject in the case of clauses (ii), (iii) and (iv) to receipt from the Purchaser by the Company and the Transfer Agent of customary representations reasonably acceptable to the Company and the Transfer Agent in connection with such request. Upon such request and receipt of such representations, the Company shall (A) deliver to the Transfer Agent irrevocable instructions to the Transfer Agent to remove the legend, and (B) cause its counsel to deliver to the Transfer Agent one or more legal opinions to the effect that the removal of such legend in such circumstances may be effected under the Securities Act if required by the Transfer Agent to effect the removal of the legend in accordance with the provisions of this Agreement. The Company agrees that following the effective date of a registration statement covering the resale of the Shares or at such time as such legend is no longer required under this Section 4.1(c), it will, no later than two (2) Trading Days following the delivery by the Purchaser to the Company or the Transfer Agent of a request for legend removal and in the case of Shares evidenced by a physical certificate, the delivery of the physical certificate, and receipt from the Purchaser by the Company and the Transfer Agent of customary representations reasonably acceptable to the Company and the Transfer Agent in connection therewith, deliver or cause to be delivered to the Purchaser, as may be requested by the Purchaser, a book-entry position evidencing such Shares that is free from all restrictive and other legends or by crediting the account of the Purchaser or its designee with The Depository Trust Company through its Deposit or Withdrawal at Custodian system if the Company is then a participant in such system. (d) The Purchaser agrees with the Company that the Purchaser will sell any Shares pursuant to either the registration requirements of the Securities Act, including any applicable prospectus delivery requirements, or an exemption therefrom, and acknowledges that any removal of the restrictive legend from the Shares due to the effectiveness of a registration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statement as set forth in Section 4.1(c) is predicated upon the Company’s reliance upon this covenant of the Purchaser. (e) Pursuant to Amendment No. 1, dated May 14, 2026, by and between the Purchaser and the Company (“Amendment No. 1”), to the Registration Rights Agreement, dated September 12, 2025 (the “RRA”), by and among, the Company and the Holders party thereto, the Shares shall constitute “Registrable Securities” under, and shall be entitled to the benefits of, the RRA . The Company represents and warrants that Amendment No. 1 may be executed and delivered by the Company without the consent of any other party to the RRA, or, if any such consent is required, such consent has been obtained. The Company shall treat the Shares as “Registrable Securities” for all purposes of the RRA, including for purposes of any resale registration statement then effective or to be filed pursuant thereto. 4.2 Maintenance of Public Information. The Company covenants, until the earliest of the time that the Purchaser owns no Shares or all Shares held by the Purchaser may be sold without restriction or limitation pursuant to Rule 144 and without the requirement for the Company to be in compliance with Rule 144(c)(1), to timely file (or obtain extensions in respect thereof and file within the applicable grace period) all reports required to be filed by the Company after the date hereof pursuant to the Exchange Act. 4.3 Integration. The Company shall not sell, offer for sale or solicit offers to buy or otherwise negotiate in respect of any security (as defined in Section 2 of the Securities Act) that would be integrated with, or aggregated with, the offer or sale of the Shares in a manner that would require the registration under the Securities Act of the sale of the Shares or that would be integrated with the offer or sale of the Shares for purposes of the rules and regulations of the Trading Market, in each case in a manner that would require stockholder approval prior to the issuance of the Shares or such other securities, unless stockholder approval is obtained prior to such issuance. 4.4 Securities Laws Disclosure. The Company shall file a Current Report on Form 8- K, including this Agreement as an exhibit thereto, with the Commission within the time required by the Exchange Act. 4.5 Listing of Class A Common Stock. The Company hereby agrees to use commercially reasonable efforts to maintain the listing or quotation of the Class A Common Stock on the Trading Market on which it is currently listed. 4.6 Compliance with Trading Market Rules; No Violation. Notwithstanding anything to the contrary in this Agreement, the Company shall not, and shall not cause its Transfer Agent to, issue or deliver any Shares pursuant to this Agreement if such issuance would violate the rules of the Trading Market. The Company shall, prior to the issuance of the Shares, make any required notifications to the Trading Market, including any required Listing of Additional Shares notification, and use commercially reasonable efforts to ensure that the Shares are eligible for listing on the Trading Market upon issuance (subject only to official notice of issuance) and shall provide the Purchaser with reasonable evidence of compliance with this Section 4.6 upon request. 4.7 Certain Transactions and Confidentiality. The Purchaser covenants that neither it nor any Affiliate acting on its behalf or pursuant to any understanding with it will execute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purchases or sales, including short sales, of any of the Company’s securities during the period commencing with the execution of this Agreement and ending at such time that the transactions contemplated by this Agreement are first publicly announced pursuant to the Current Report on Form 8-K contemplated by Section 4.4 of this Agreement. The Purchaser covenants that until such time as the transactions contemplated by this Agreement are publicly disclosed by the Company pursuant to the Current Report on Form 8-K contemplated by Section 4.4 of this Agreement, the Purchaser will maintain the confidentiality of the existence and terms of this transaction. 4.8 Bitcoin Indemnification. The Purchaser hereby agrees to indemnify, defend, and hold the Company harmless from and against any and all claims, losses, liabilities, damages or expenses arising out of or related to (i) delays, errors, or failures in the execution, confirmation or settlement of the Bitcoin delivered in connection with this transaction, (ii) the breach of any of the Bitcoin representations or warranties set forth in Section 3.2(j), or (iii) any claim that the Purchaser’s Bitcoin were derived from or connected with illegal activity. ARTICLE V MISCELLANEOUS 5.1 Termination. This Agreement may be terminated by the Company or by the Purchaser by written notice to the other party, if the Closing has not been consummated on or before the fifth (5th) Trading Day following the date hereof; provided, however, that no such termination will affect the right of any party to sue for any breach by any other party (or parties). 5.2 Return of Bitcoin. If this Agreement is terminated and the Purchaser has transferred BTC to the Company Wallet and the Closing has not occurred, the Company shall promptly, and in any event within five (5) Business Days following such termination, return to the Purchaser the full BTC Payment Amount (denominated in Bitcoin, not U.S. Dollars) to a wallet address designated by the Purchaser in writing, without deduction, offset, or interest. The Company shall bear all network transaction fees associated with such return transfer. 5.3 Fees and Expenses.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Shares to the Purchaser. 5.4 Entire Agreement. This Agreement contains the entire understanding of the parties with respect to the subject matter hereof and supersedes all prior agreements and understandings, oral or written, with respect to such matters. 5.5 Notices. Any and all notices or other communications or deliveries required or permitted to be provided hereunder shall be in writing and shall be deemed given and effective on the earliest of: (a) the time of transmission, if such notice or communication is delivered via email at or prior to 5:30 p.m. (New York City time) on a Trading Day, (b) the next Trading Day after the time of transmission, if such notice or communication is delivered via email on a day that is not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Trading Day or later than 5:30 p.m. (New York City time) on any Trading Day, (c) the second (2nd) Trading Day following the date of mailing, if sent by U.S. nationally recognized overnight courier service or (d) upon actual receipt by the party to whom such notice is required to be given. 5.6 Amendments; Waivers.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5.6 shall be binding upon each Purchaser and the Company. 5.7 Headings. The headings herein are for convenience only, do not constitute a part of this Agreement and shall not be deemed to limit or affect any of the provisions hereof. 5.8 Successors and Assigns.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Shares, provided that such transferee agrees in writing to be bound, with respect to the transferred Shares, by the provisions of this Agreement that apply to the Purchaser. 5.9 No Third-Party Beneficiaries. This Agreement is intended for the benefit of the parties hereto and their respective successors and permitted assigns and is not for the benefit of, nor may any provision hereof be enforced by, any other Person. 5.10 Governing Law; Jurisdiction.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(whether brought against a party hereto or its respective affiliates, directors, officers, shareholders, partners, members, employees or agents) shall be commenced exclusively in the state and federal courts sitting in the State of New York. Each party hereby irrevocably submits to the exclusive jurisdiction of the state and federal courts sitting in the State of New York for the adjudication of any dispute hereunder or in connection herewith or with any transaction contemplated hereby or discussed herein, and hereby irrevocably waives, and agrees not to assert in any Proceeding, any claim that it is not personally subject to the jurisdiction of any such court, that such Proceeding is improper or is an inconvenient venue for such Proceeding. Each party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law. If any party shall commence a Proceeding to enforce any provisions of this Agreement, then the prevailing party in such Proceeding shall be reimbursed by the non-prevailing party for its reasonable attorneys’ fees and other costs and expenses incurred with the investigation, preparation and prosecution of such Proceeding. 5.11 Survival. The representations and warranties contained herein shall survive the Closing and the delivery of the Shares. 5.12 Execution.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 5.13 Severability.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5.14 Construction.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 In addition, each and every reference to share prices and shares of Class A Common Stock and Class B Common Stock in this Agreement shall be subject to adjustment for reverse and forward stock splits, stock dividends, stock combinations and other similar transactions of the Class A Common Stock and Class B Common Stock that occur after the date of this Agreement. 5.15 WAIVER OF JURY TRIAL.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Securities Purchase Agreement to be duly executed by their respective authorized signatories as of the date first indicated above. GEMINI SPACE STATION, INC. By: /s/ Danijela Stojanovic Name: Danijela Stojanovic Title: Interim Chief Financial Officer Address for Notice: 600 Third Avenue, 2nd Floor New York, NY 10016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Securities Purchase Agreement to be duly executed by their respective authorized signatories as of the date first indicated above. PURCHASER: WINKLEVOSS CAPITAL FUND, LLC By: /s/ Cameron Winklevoss By: Winklevoss Capital Management, LLC, its Manager Name: Cameron Winklevoss Title: Manager Address for Notice: Farmers Bank Building, 301 N. Market Street, Suite 1463 Wilmington, Delaware 19801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CLOSING SCHEDULE Company Wallet Address: [***] Purchaser Shares Price Per Share Aggregate Purchase Price (USD) BTC Exchange Rate (USD/BTC) BTC Payment Amount Winklevoss Capital Fund, LLC 7,142,857 $14.00 $100,000,000 $79,496.91 1,257.91052759 BTC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62" w:before="0" w:after="0"/>
        <w:jc w:val="left"/>
        <w:rPr>
          <w:rFonts w:ascii="Times New Roman;serif" w:hAnsi="Times New Roman;serif"/>
          <w:b/>
          <w:i w:val="false"/>
          <w:caps w:val="false"/>
          <w:smallCaps w:val="false"/>
          <w:sz w:val="24"/>
          <w:u w:val="single"/>
          <w:shd w:fill="E4E4E4" w:val="clear"/>
        </w:rPr>
      </w:pPr>
      <w:r>
        <w:rPr>
          <w:rFonts w:ascii="Times New Roman;serif" w:hAnsi="Times New Roman;serif"/>
          <w:b/>
          <w:i w:val="false"/>
          <w:caps w:val="false"/>
          <w:smallCaps w:val="false"/>
          <w:sz w:val="24"/>
          <w:u w:val="single"/>
          <w:shd w:fill="E4E4E4" w:val="clear"/>
        </w:rPr>
        <w:t>AMENDMENT NO. 1 TO REGISTRATION RIGHTS AGREEMENT</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May 14, 2026</w:t>
      </w:r>
    </w:p>
    <w:p>
      <w:pPr>
        <w:pStyle w:val="TextBody"/>
        <w:bidi w:val="0"/>
        <w:spacing w:lineRule="atLeast" w:line="162" w:before="0" w:after="0"/>
        <w:jc w:val="left"/>
        <w:rPr>
          <w:rFonts w:ascii="Times New Roman;serif" w:hAnsi="Times New Roman;serif"/>
          <w:b/>
          <w:i w:val="false"/>
          <w:caps w:val="false"/>
          <w:smallCaps w:val="false"/>
          <w:sz w:val="24"/>
          <w:u w:val="single"/>
          <w:shd w:fill="E4E4E4" w:val="clear"/>
        </w:rPr>
      </w:pPr>
      <w:r>
        <w:rPr>
          <w:rFonts w:ascii="Times New Roman;serif" w:hAnsi="Times New Roman;serif"/>
          <w:b/>
          <w:i w:val="false"/>
          <w:caps w:val="false"/>
          <w:smallCaps w:val="false"/>
          <w:sz w:val="24"/>
          <w:u w:val="single"/>
          <w:shd w:fill="E4E4E4" w:val="clear"/>
        </w:rPr>
        <w:t>RECITALS</w:t>
      </w:r>
      <w:r>
        <mc:AlternateContent>
          <mc:Choice Requires="wps">
            <w:drawing>
              <wp:anchor behindDoc="0" distT="0" distB="0" distL="0" distR="0" simplePos="0" locked="0" layoutInCell="1" allowOverlap="1" relativeHeight="79">
                <wp:simplePos x="0" y="0"/>
                <wp:positionH relativeFrom="page">
                  <wp:posOffset>3564255</wp:posOffset>
                </wp:positionH>
                <wp:positionV relativeFrom="line">
                  <wp:posOffset>635</wp:posOffset>
                </wp:positionV>
                <wp:extent cx="440055" cy="350520"/>
                <wp:effectExtent l="0" t="0" r="0" b="0"/>
                <wp:wrapNone/>
                <wp:docPr id="27" name="Frame16"/>
                <a:graphic xmlns:a="http://schemas.openxmlformats.org/drawingml/2006/main">
                  <a:graphicData uri="http://schemas.microsoft.com/office/word/2010/wordprocessingShape">
                    <wps:wsp>
                      <wps:cNvSpPr txBox="1"/>
                      <wps:spPr>
                        <a:xfrm>
                          <a:off x="0" y="0"/>
                          <a:ext cx="440055" cy="350520"/>
                        </a:xfrm>
                        <a:prstGeom prst="rect"/>
                        <a:solidFill>
                          <a:srgbClr val="FFFFFF"/>
                        </a:solidFill>
                      </wps:spPr>
                      <wps:txbx>
                        <w:txbxContent>
                          <w:p>
                            <w:pPr>
                              <w:pStyle w:val="TextBody"/>
                              <w:bidi w:val="0"/>
                              <w:spacing w:before="0" w:after="283"/>
                              <w:jc w:val="left"/>
                              <w:rPr>
                                <w:rFonts w:ascii="Times New Roman;serif" w:hAnsi="Times New Roman;serif"/>
                                <w:b/>
                                <w:i/>
                                <w:sz w:val="24"/>
                              </w:rPr>
                            </w:pPr>
                            <w:r>
                              <w:rPr>
                                <w:rFonts w:ascii="Times New Roman;serif" w:hAnsi="Times New Roman;serif"/>
                                <w:b/>
                                <w:i/>
                                <w:sz w:val="24"/>
                              </w:rPr>
                              <w:t>Parties</w:t>
                            </w:r>
                          </w:p>
                        </w:txbxContent>
                      </wps:txbx>
                      <wps:bodyPr anchor="t" lIns="0" tIns="0" rIns="0" bIns="0">
                        <a:noAutofit/>
                      </wps:bodyPr>
                    </wps:wsp>
                  </a:graphicData>
                </a:graphic>
              </wp:anchor>
            </w:drawing>
          </mc:Choice>
          <mc:Fallback>
            <w:pict>
              <v:rect style="position:absolute;rotation:-0;width:34.65pt;height:27.6pt;mso-wrap-distance-left:0pt;mso-wrap-distance-right:0pt;mso-wrap-distance-top:0pt;mso-wrap-distance-bottom:0pt;margin-top:0pt;mso-position-vertical:top;mso-position-vertical-relative:text;margin-left:280.65pt;mso-position-horizontal-relative:page">
                <v:textbox>
                  <w:txbxContent>
                    <w:p>
                      <w:pPr>
                        <w:pStyle w:val="TextBody"/>
                        <w:bidi w:val="0"/>
                        <w:spacing w:before="0" w:after="283"/>
                        <w:jc w:val="left"/>
                        <w:rPr>
                          <w:rFonts w:ascii="Times New Roman;serif" w:hAnsi="Times New Roman;serif"/>
                          <w:b/>
                          <w:i/>
                          <w:sz w:val="24"/>
                        </w:rPr>
                      </w:pPr>
                      <w:r>
                        <w:rPr>
                          <w:rFonts w:ascii="Times New Roman;serif" w:hAnsi="Times New Roman;serif"/>
                          <w:b/>
                          <w:i/>
                          <w:sz w:val="24"/>
                        </w:rPr>
                        <w:t>Parties</w:t>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795655</wp:posOffset>
                </wp:positionH>
                <wp:positionV relativeFrom="line">
                  <wp:posOffset>635</wp:posOffset>
                </wp:positionV>
                <wp:extent cx="418465" cy="350520"/>
                <wp:effectExtent l="0" t="0" r="0" b="0"/>
                <wp:wrapNone/>
                <wp:docPr id="28" name="Frame27"/>
                <a:graphic xmlns:a="http://schemas.openxmlformats.org/drawingml/2006/main">
                  <a:graphicData uri="http://schemas.microsoft.com/office/word/2010/wordprocessingShape">
                    <wps:wsp>
                      <wps:cNvSpPr txBox="1"/>
                      <wps:spPr>
                        <a:xfrm>
                          <a:off x="0" y="0"/>
                          <a:ext cx="4184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herein.</w:t>
                            </w:r>
                          </w:p>
                        </w:txbxContent>
                      </wps:txbx>
                      <wps:bodyPr anchor="t" lIns="0" tIns="0" rIns="0" bIns="0">
                        <a:noAutofit/>
                      </wps:bodyPr>
                    </wps:wsp>
                  </a:graphicData>
                </a:graphic>
              </wp:anchor>
            </w:drawing>
          </mc:Choice>
          <mc:Fallback>
            <w:pict>
              <v:rect style="position:absolute;rotation:-0;width:32.95pt;height:27.6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herein.</w:t>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6976110</wp:posOffset>
                </wp:positionH>
                <wp:positionV relativeFrom="line">
                  <wp:posOffset>635</wp:posOffset>
                </wp:positionV>
                <wp:extent cx="38100" cy="175260"/>
                <wp:effectExtent l="0" t="0" r="0" b="0"/>
                <wp:wrapNone/>
                <wp:docPr id="29" name="Frame2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795655</wp:posOffset>
                </wp:positionH>
                <wp:positionV relativeFrom="line">
                  <wp:posOffset>635</wp:posOffset>
                </wp:positionV>
                <wp:extent cx="6181090" cy="175260"/>
                <wp:effectExtent l="0" t="0" r="0" b="0"/>
                <wp:wrapNone/>
                <wp:docPr id="30" name="Frame25"/>
                <a:graphic xmlns:a="http://schemas.openxmlformats.org/drawingml/2006/main">
                  <a:graphicData uri="http://schemas.microsoft.com/office/word/2010/wordprocessingShape">
                    <wps:wsp>
                      <wps:cNvSpPr txBox="1"/>
                      <wps:spPr>
                        <a:xfrm>
                          <a:off x="0" y="0"/>
                          <a:ext cx="61810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meanings ascribed to such terms in the Registration Rights Agreement unless otherwise defined</w:t>
                            </w:r>
                          </w:p>
                        </w:txbxContent>
                      </wps:txbx>
                      <wps:bodyPr anchor="t" lIns="0" tIns="0" rIns="0" bIns="0">
                        <a:noAutofit/>
                      </wps:bodyPr>
                    </wps:wsp>
                  </a:graphicData>
                </a:graphic>
              </wp:anchor>
            </w:drawing>
          </mc:Choice>
          <mc:Fallback>
            <w:pict>
              <v:rect style="position:absolute;rotation:-0;width:486.7pt;height:13.8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meanings ascribed to such terms in the Registration Rights Agreement unless otherwise defined</w:t>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6975475</wp:posOffset>
                </wp:positionH>
                <wp:positionV relativeFrom="line">
                  <wp:posOffset>635</wp:posOffset>
                </wp:positionV>
                <wp:extent cx="38100" cy="175260"/>
                <wp:effectExtent l="0" t="0" r="0" b="0"/>
                <wp:wrapNone/>
                <wp:docPr id="31" name="Frame2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795655</wp:posOffset>
                </wp:positionH>
                <wp:positionV relativeFrom="line">
                  <wp:posOffset>635</wp:posOffset>
                </wp:positionV>
                <wp:extent cx="6179820" cy="175260"/>
                <wp:effectExtent l="0" t="0" r="0" b="0"/>
                <wp:wrapNone/>
                <wp:docPr id="32" name="Frame23"/>
                <a:graphic xmlns:a="http://schemas.openxmlformats.org/drawingml/2006/main">
                  <a:graphicData uri="http://schemas.microsoft.com/office/word/2010/wordprocessingShape">
                    <wps:wsp>
                      <wps:cNvSpPr txBox="1"/>
                      <wps:spPr>
                        <a:xfrm>
                          <a:off x="0" y="0"/>
                          <a:ext cx="61798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Company and the Holders party thereto. All capitalized terms used in this Amendment have the</w:t>
                            </w:r>
                          </w:p>
                        </w:txbxContent>
                      </wps:txbx>
                      <wps:bodyPr anchor="t" lIns="0" tIns="0" rIns="0" bIns="0">
                        <a:noAutofit/>
                      </wps:bodyPr>
                    </wps:wsp>
                  </a:graphicData>
                </a:graphic>
              </wp:anchor>
            </w:drawing>
          </mc:Choice>
          <mc:Fallback>
            <w:pict>
              <v:rect style="position:absolute;rotation:-0;width:486.6pt;height:13.8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Company and the Holders party thereto. All capitalized terms used in this Amendment have the</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6976745</wp:posOffset>
                </wp:positionH>
                <wp:positionV relativeFrom="line">
                  <wp:posOffset>635</wp:posOffset>
                </wp:positionV>
                <wp:extent cx="38100" cy="175260"/>
                <wp:effectExtent l="0" t="0" r="0" b="0"/>
                <wp:wrapNone/>
                <wp:docPr id="33" name="Frame2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5589905</wp:posOffset>
                </wp:positionH>
                <wp:positionV relativeFrom="line">
                  <wp:posOffset>635</wp:posOffset>
                </wp:positionV>
                <wp:extent cx="1386205" cy="175260"/>
                <wp:effectExtent l="0" t="0" r="0" b="0"/>
                <wp:wrapNone/>
                <wp:docPr id="34" name="Frame21"/>
                <a:graphic xmlns:a="http://schemas.openxmlformats.org/drawingml/2006/main">
                  <a:graphicData uri="http://schemas.microsoft.com/office/word/2010/wordprocessingShape">
                    <wps:wsp>
                      <wps:cNvSpPr txBox="1"/>
                      <wps:spPr>
                        <a:xfrm>
                          <a:off x="0" y="0"/>
                          <a:ext cx="138620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by and among, the</w:t>
                            </w:r>
                          </w:p>
                        </w:txbxContent>
                      </wps:txbx>
                      <wps:bodyPr anchor="t" lIns="0" tIns="0" rIns="0" bIns="0">
                        <a:noAutofit/>
                      </wps:bodyPr>
                    </wps:wsp>
                  </a:graphicData>
                </a:graphic>
              </wp:anchor>
            </w:drawing>
          </mc:Choice>
          <mc:Fallback>
            <w:pict>
              <v:rect style="position:absolute;rotation:-0;width:109.15pt;height:13.8pt;mso-wrap-distance-left:0pt;mso-wrap-distance-right:0pt;mso-wrap-distance-top:0pt;mso-wrap-distance-bottom:0pt;margin-top:0pt;mso-position-vertical:top;mso-position-vertical-relative:text;margin-left:440.15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by and among, the</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3619500</wp:posOffset>
                </wp:positionH>
                <wp:positionV relativeFrom="line">
                  <wp:posOffset>635</wp:posOffset>
                </wp:positionV>
                <wp:extent cx="1971040" cy="175260"/>
                <wp:effectExtent l="0" t="0" r="0" b="0"/>
                <wp:wrapNone/>
                <wp:docPr id="35" name="Frame20"/>
                <a:graphic xmlns:a="http://schemas.openxmlformats.org/drawingml/2006/main">
                  <a:graphicData uri="http://schemas.microsoft.com/office/word/2010/wordprocessingShape">
                    <wps:wsp>
                      <wps:cNvSpPr txBox="1"/>
                      <wps:spPr>
                        <a:xfrm>
                          <a:off x="0" y="0"/>
                          <a:ext cx="1971040" cy="175260"/>
                        </a:xfrm>
                        <a:prstGeom prst="rect"/>
                        <a:solidFill>
                          <a:srgbClr val="FFFFFF"/>
                        </a:solidFill>
                      </wps:spPr>
                      <wps:txbx>
                        <w:txbxContent>
                          <w:p>
                            <w:pPr>
                              <w:pStyle w:val="TextBody"/>
                              <w:bidi w:val="0"/>
                              <w:spacing w:before="0" w:after="283"/>
                              <w:jc w:val="left"/>
                              <w:rPr>
                                <w:rFonts w:ascii="Times New Roman;serif" w:hAnsi="Times New Roman;serif"/>
                                <w:b/>
                                <w:i/>
                                <w:sz w:val="24"/>
                              </w:rPr>
                            </w:pPr>
                            <w:r>
                              <w:rPr>
                                <w:rFonts w:ascii="Times New Roman;serif" w:hAnsi="Times New Roman;serif"/>
                                <w:b/>
                                <w:i/>
                                <w:sz w:val="24"/>
                              </w:rPr>
                              <w:t>Registration Rights Agreement</w:t>
                            </w:r>
                          </w:p>
                        </w:txbxContent>
                      </wps:txbx>
                      <wps:bodyPr anchor="t" lIns="0" tIns="0" rIns="0" bIns="0">
                        <a:noAutofit/>
                      </wps:bodyPr>
                    </wps:wsp>
                  </a:graphicData>
                </a:graphic>
              </wp:anchor>
            </w:drawing>
          </mc:Choice>
          <mc:Fallback>
            <w:pict>
              <v:rect style="position:absolute;rotation:-0;width:155.2pt;height:13.8pt;mso-wrap-distance-left:0pt;mso-wrap-distance-right:0pt;mso-wrap-distance-top:0pt;mso-wrap-distance-bottom:0pt;margin-top:0pt;mso-position-vertical:top;mso-position-vertical-relative:text;margin-left:285pt;mso-position-horizontal-relative:page">
                <v:textbox>
                  <w:txbxContent>
                    <w:p>
                      <w:pPr>
                        <w:pStyle w:val="TextBody"/>
                        <w:bidi w:val="0"/>
                        <w:spacing w:before="0" w:after="283"/>
                        <w:jc w:val="left"/>
                        <w:rPr>
                          <w:rFonts w:ascii="Times New Roman;serif" w:hAnsi="Times New Roman;serif"/>
                          <w:b/>
                          <w:i/>
                          <w:sz w:val="24"/>
                        </w:rPr>
                      </w:pPr>
                      <w:r>
                        <w:rPr>
                          <w:rFonts w:ascii="Times New Roman;serif" w:hAnsi="Times New Roman;serif"/>
                          <w:b/>
                          <w:i/>
                          <w:sz w:val="24"/>
                        </w:rPr>
                        <w:t>Registration Rights Agreement</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795655</wp:posOffset>
                </wp:positionH>
                <wp:positionV relativeFrom="line">
                  <wp:posOffset>635</wp:posOffset>
                </wp:positionV>
                <wp:extent cx="2823845" cy="175260"/>
                <wp:effectExtent l="0" t="0" r="0" b="0"/>
                <wp:wrapNone/>
                <wp:docPr id="36" name="Frame19"/>
                <a:graphic xmlns:a="http://schemas.openxmlformats.org/drawingml/2006/main">
                  <a:graphicData uri="http://schemas.microsoft.com/office/word/2010/wordprocessingShape">
                    <wps:wsp>
                      <wps:cNvSpPr txBox="1"/>
                      <wps:spPr>
                        <a:xfrm>
                          <a:off x="0" y="0"/>
                          <a:ext cx="28238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Agreement, dated September 12, 2025 (the “</w:t>
                            </w:r>
                          </w:p>
                        </w:txbxContent>
                      </wps:txbx>
                      <wps:bodyPr anchor="t" lIns="0" tIns="0" rIns="0" bIns="0">
                        <a:noAutofit/>
                      </wps:bodyPr>
                    </wps:wsp>
                  </a:graphicData>
                </a:graphic>
              </wp:anchor>
            </w:drawing>
          </mc:Choice>
          <mc:Fallback>
            <w:pict>
              <v:rect style="position:absolute;rotation:-0;width:222.35pt;height:13.8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Agreement, dated September 12, 2025 (the “</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6975475</wp:posOffset>
                </wp:positionH>
                <wp:positionV relativeFrom="line">
                  <wp:posOffset>635</wp:posOffset>
                </wp:positionV>
                <wp:extent cx="38100" cy="175260"/>
                <wp:effectExtent l="0" t="0" r="0" b="0"/>
                <wp:wrapNone/>
                <wp:docPr id="37" name="Frame1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4004310</wp:posOffset>
                </wp:positionH>
                <wp:positionV relativeFrom="line">
                  <wp:posOffset>635</wp:posOffset>
                </wp:positionV>
                <wp:extent cx="2971165" cy="175260"/>
                <wp:effectExtent l="0" t="0" r="0" b="0"/>
                <wp:wrapNone/>
                <wp:docPr id="38" name="Frame17"/>
                <a:graphic xmlns:a="http://schemas.openxmlformats.org/drawingml/2006/main">
                  <a:graphicData uri="http://schemas.microsoft.com/office/word/2010/wordprocessingShape">
                    <wps:wsp>
                      <wps:cNvSpPr txBox="1"/>
                      <wps:spPr>
                        <a:xfrm>
                          <a:off x="0" y="0"/>
                          <a:ext cx="297116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and amends that certain Registration Rights</w:t>
                            </w:r>
                          </w:p>
                        </w:txbxContent>
                      </wps:txbx>
                      <wps:bodyPr anchor="t" lIns="0" tIns="0" rIns="0" bIns="0">
                        <a:noAutofit/>
                      </wps:bodyPr>
                    </wps:wsp>
                  </a:graphicData>
                </a:graphic>
              </wp:anchor>
            </w:drawing>
          </mc:Choice>
          <mc:Fallback>
            <w:pict>
              <v:rect style="position:absolute;rotation:-0;width:233.95pt;height:13.8pt;mso-wrap-distance-left:0pt;mso-wrap-distance-right:0pt;mso-wrap-distance-top:0pt;mso-wrap-distance-bottom:0pt;margin-top:0pt;mso-position-vertical:top;mso-position-vertical-relative:text;margin-left:315.3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and amends that certain Registration Rights</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1252855</wp:posOffset>
                </wp:positionH>
                <wp:positionV relativeFrom="line">
                  <wp:posOffset>635</wp:posOffset>
                </wp:positionV>
                <wp:extent cx="1887220" cy="175260"/>
                <wp:effectExtent l="0" t="0" r="0" b="0"/>
                <wp:wrapNone/>
                <wp:docPr id="39" name="Frame5"/>
                <a:graphic xmlns:a="http://schemas.openxmlformats.org/drawingml/2006/main">
                  <a:graphicData uri="http://schemas.microsoft.com/office/word/2010/wordprocessingShape">
                    <wps:wsp>
                      <wps:cNvSpPr txBox="1"/>
                      <wps:spPr>
                        <a:xfrm>
                          <a:off x="0" y="0"/>
                          <a:ext cx="18872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Amendment No. 1 (the “</w:t>
                            </w:r>
                          </w:p>
                        </w:txbxContent>
                      </wps:txbx>
                      <wps:bodyPr anchor="t" lIns="0" tIns="0" rIns="0" bIns="0">
                        <a:noAutofit/>
                      </wps:bodyPr>
                    </wps:wsp>
                  </a:graphicData>
                </a:graphic>
              </wp:anchor>
            </w:drawing>
          </mc:Choice>
          <mc:Fallback>
            <w:pict>
              <v:rect style="position:absolute;rotation:-0;width:148.6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Amendment No. 1 (the “</w:t>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1464310</wp:posOffset>
                </wp:positionH>
                <wp:positionV relativeFrom="line">
                  <wp:posOffset>635</wp:posOffset>
                </wp:positionV>
                <wp:extent cx="2100580" cy="175260"/>
                <wp:effectExtent l="0" t="0" r="0" b="0"/>
                <wp:wrapNone/>
                <wp:docPr id="40" name="Frame15"/>
                <a:graphic xmlns:a="http://schemas.openxmlformats.org/drawingml/2006/main">
                  <a:graphicData uri="http://schemas.microsoft.com/office/word/2010/wordprocessingShape">
                    <wps:wsp>
                      <wps:cNvSpPr txBox="1"/>
                      <wps:spPr>
                        <a:xfrm>
                          <a:off x="0" y="0"/>
                          <a:ext cx="210058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and, together with WCF, the “</w:t>
                            </w:r>
                          </w:p>
                        </w:txbxContent>
                      </wps:txbx>
                      <wps:bodyPr anchor="t" lIns="0" tIns="0" rIns="0" bIns="0">
                        <a:noAutofit/>
                      </wps:bodyPr>
                    </wps:wsp>
                  </a:graphicData>
                </a:graphic>
              </wp:anchor>
            </w:drawing>
          </mc:Choice>
          <mc:Fallback>
            <w:pict>
              <v:rect style="position:absolute;rotation:-0;width:165.4pt;height:13.8pt;mso-wrap-distance-left:0pt;mso-wrap-distance-right:0pt;mso-wrap-distance-top:0pt;mso-wrap-distance-bottom:0pt;margin-top:0pt;mso-position-vertical:top;mso-position-vertical-relative:text;margin-left:115.3pt;mso-position-horizontal-relative:page">
                <v:textbo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and, together with WCF, the “</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862965</wp:posOffset>
                </wp:positionH>
                <wp:positionV relativeFrom="line">
                  <wp:posOffset>635</wp:posOffset>
                </wp:positionV>
                <wp:extent cx="600710" cy="350520"/>
                <wp:effectExtent l="0" t="0" r="0" b="0"/>
                <wp:wrapNone/>
                <wp:docPr id="41" name="Frame14"/>
                <a:graphic xmlns:a="http://schemas.openxmlformats.org/drawingml/2006/main">
                  <a:graphicData uri="http://schemas.microsoft.com/office/word/2010/wordprocessingShape">
                    <wps:wsp>
                      <wps:cNvSpPr txBox="1"/>
                      <wps:spPr>
                        <a:xfrm>
                          <a:off x="0" y="0"/>
                          <a:ext cx="600710" cy="350520"/>
                        </a:xfrm>
                        <a:prstGeom prst="rect"/>
                        <a:solidFill>
                          <a:srgbClr val="FFFFFF"/>
                        </a:solidFill>
                      </wps:spPr>
                      <wps:txbx>
                        <w:txbxContent>
                          <w:p>
                            <w:pPr>
                              <w:pStyle w:val="TextBody"/>
                              <w:bidi w:val="0"/>
                              <w:spacing w:before="0" w:after="283"/>
                              <w:jc w:val="left"/>
                              <w:rPr>
                                <w:rFonts w:ascii="Times New Roman;serif" w:hAnsi="Times New Roman;serif"/>
                                <w:b/>
                                <w:i/>
                                <w:sz w:val="24"/>
                              </w:rPr>
                            </w:pPr>
                            <w:r>
                              <w:rPr>
                                <w:rFonts w:ascii="Times New Roman;serif" w:hAnsi="Times New Roman;serif"/>
                                <w:b/>
                                <w:i/>
                                <w:sz w:val="24"/>
                              </w:rPr>
                              <w:t>Company</w:t>
                            </w:r>
                          </w:p>
                        </w:txbxContent>
                      </wps:txbx>
                      <wps:bodyPr anchor="t" lIns="0" tIns="0" rIns="0" bIns="0">
                        <a:noAutofit/>
                      </wps:bodyPr>
                    </wps:wsp>
                  </a:graphicData>
                </a:graphic>
              </wp:anchor>
            </w:drawing>
          </mc:Choice>
          <mc:Fallback>
            <w:pict>
              <v:rect style="position:absolute;rotation:-0;width:47.3pt;height:27.6pt;mso-wrap-distance-left:0pt;mso-wrap-distance-right:0pt;mso-wrap-distance-top:0pt;mso-wrap-distance-bottom:0pt;margin-top:0pt;mso-position-vertical:top;mso-position-vertical-relative:text;margin-left:67.95pt;mso-position-horizontal-relative:page">
                <v:textbox>
                  <w:txbxContent>
                    <w:p>
                      <w:pPr>
                        <w:pStyle w:val="TextBody"/>
                        <w:bidi w:val="0"/>
                        <w:spacing w:before="0" w:after="283"/>
                        <w:jc w:val="left"/>
                        <w:rPr>
                          <w:rFonts w:ascii="Times New Roman;serif" w:hAnsi="Times New Roman;serif"/>
                          <w:b/>
                          <w:i/>
                          <w:sz w:val="24"/>
                        </w:rPr>
                      </w:pPr>
                      <w:r>
                        <w:rPr>
                          <w:rFonts w:ascii="Times New Roman;serif" w:hAnsi="Times New Roman;serif"/>
                          <w:b/>
                          <w:i/>
                          <w:sz w:val="24"/>
                        </w:rPr>
                        <w:t>Company</w:t>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795655</wp:posOffset>
                </wp:positionH>
                <wp:positionV relativeFrom="line">
                  <wp:posOffset>635</wp:posOffset>
                </wp:positionV>
                <wp:extent cx="67310" cy="175260"/>
                <wp:effectExtent l="0" t="0" r="0" b="0"/>
                <wp:wrapNone/>
                <wp:docPr id="42" name="Frame13"/>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6975475</wp:posOffset>
                </wp:positionH>
                <wp:positionV relativeFrom="line">
                  <wp:posOffset>635</wp:posOffset>
                </wp:positionV>
                <wp:extent cx="38100" cy="175260"/>
                <wp:effectExtent l="0" t="0" r="0" b="0"/>
                <wp:wrapNone/>
                <wp:docPr id="43" name="Frame1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3221355</wp:posOffset>
                </wp:positionH>
                <wp:positionV relativeFrom="line">
                  <wp:posOffset>635</wp:posOffset>
                </wp:positionV>
                <wp:extent cx="3754120" cy="175260"/>
                <wp:effectExtent l="0" t="0" r="0" b="0"/>
                <wp:wrapNone/>
                <wp:docPr id="44" name="Frame11"/>
                <a:graphic xmlns:a="http://schemas.openxmlformats.org/drawingml/2006/main">
                  <a:graphicData uri="http://schemas.microsoft.com/office/word/2010/wordprocessingShape">
                    <wps:wsp>
                      <wps:cNvSpPr txBox="1"/>
                      <wps:spPr>
                        <a:xfrm>
                          <a:off x="0" y="0"/>
                          <a:ext cx="375412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and Gemini Space Station, Inc., a Nevada corporation (the</w:t>
                            </w:r>
                          </w:p>
                        </w:txbxContent>
                      </wps:txbx>
                      <wps:bodyPr anchor="t" lIns="0" tIns="0" rIns="0" bIns="0">
                        <a:noAutofit/>
                      </wps:bodyPr>
                    </wps:wsp>
                  </a:graphicData>
                </a:graphic>
              </wp:anchor>
            </w:drawing>
          </mc:Choice>
          <mc:Fallback>
            <w:pict>
              <v:rect style="position:absolute;rotation:-0;width:295.6pt;height:13.8pt;mso-wrap-distance-left:0pt;mso-wrap-distance-right:0pt;mso-wrap-distance-top:0pt;mso-wrap-distance-bottom:0pt;margin-top:0pt;mso-position-vertical:top;mso-position-vertical-relative:text;margin-left:253.65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and Gemini Space Station, Inc., a Nevada corporation (the</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2882265</wp:posOffset>
                </wp:positionH>
                <wp:positionV relativeFrom="line">
                  <wp:posOffset>635</wp:posOffset>
                </wp:positionV>
                <wp:extent cx="338455" cy="350520"/>
                <wp:effectExtent l="0" t="0" r="0" b="0"/>
                <wp:wrapNone/>
                <wp:docPr id="45" name="Frame10"/>
                <a:graphic xmlns:a="http://schemas.openxmlformats.org/drawingml/2006/main">
                  <a:graphicData uri="http://schemas.microsoft.com/office/word/2010/wordprocessingShape">
                    <wps:wsp>
                      <wps:cNvSpPr txBox="1"/>
                      <wps:spPr>
                        <a:xfrm>
                          <a:off x="0" y="0"/>
                          <a:ext cx="338455" cy="350520"/>
                        </a:xfrm>
                        <a:prstGeom prst="rect"/>
                        <a:solidFill>
                          <a:srgbClr val="FFFFFF"/>
                        </a:solidFill>
                      </wps:spPr>
                      <wps:txbx>
                        <w:txbxContent>
                          <w:p>
                            <w:pPr>
                              <w:pStyle w:val="TextBody"/>
                              <w:bidi w:val="0"/>
                              <w:spacing w:before="0" w:after="283"/>
                              <w:jc w:val="left"/>
                              <w:rPr>
                                <w:rFonts w:ascii="Times New Roman;serif" w:hAnsi="Times New Roman;serif"/>
                                <w:b/>
                                <w:i/>
                                <w:sz w:val="24"/>
                              </w:rPr>
                            </w:pPr>
                            <w:r>
                              <w:rPr>
                                <w:rFonts w:ascii="Times New Roman;serif" w:hAnsi="Times New Roman;serif"/>
                                <w:b/>
                                <w:i/>
                                <w:sz w:val="24"/>
                              </w:rPr>
                              <w:t>WCF</w:t>
                            </w:r>
                          </w:p>
                        </w:txbxContent>
                      </wps:txbx>
                      <wps:bodyPr anchor="t" lIns="0" tIns="0" rIns="0" bIns="0">
                        <a:noAutofit/>
                      </wps:bodyPr>
                    </wps:wsp>
                  </a:graphicData>
                </a:graphic>
              </wp:anchor>
            </w:drawing>
          </mc:Choice>
          <mc:Fallback>
            <w:pict>
              <v:rect style="position:absolute;rotation:-0;width:26.65pt;height:27.6pt;mso-wrap-distance-left:0pt;mso-wrap-distance-right:0pt;mso-wrap-distance-top:0pt;mso-wrap-distance-bottom:0pt;margin-top:0pt;mso-position-vertical:top;mso-position-vertical-relative:text;margin-left:226.95pt;mso-position-horizontal-relative:page">
                <v:textbox>
                  <w:txbxContent>
                    <w:p>
                      <w:pPr>
                        <w:pStyle w:val="TextBody"/>
                        <w:bidi w:val="0"/>
                        <w:spacing w:before="0" w:after="283"/>
                        <w:jc w:val="left"/>
                        <w:rPr>
                          <w:rFonts w:ascii="Times New Roman;serif" w:hAnsi="Times New Roman;serif"/>
                          <w:b/>
                          <w:i/>
                          <w:sz w:val="24"/>
                        </w:rPr>
                      </w:pPr>
                      <w:r>
                        <w:rPr>
                          <w:rFonts w:ascii="Times New Roman;serif" w:hAnsi="Times New Roman;serif"/>
                          <w:b/>
                          <w:i/>
                          <w:sz w:val="24"/>
                        </w:rPr>
                        <w:t>WCF</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795655</wp:posOffset>
                </wp:positionH>
                <wp:positionV relativeFrom="line">
                  <wp:posOffset>635</wp:posOffset>
                </wp:positionV>
                <wp:extent cx="2087245" cy="175260"/>
                <wp:effectExtent l="0" t="0" r="0" b="0"/>
                <wp:wrapNone/>
                <wp:docPr id="46" name="Frame9"/>
                <a:graphic xmlns:a="http://schemas.openxmlformats.org/drawingml/2006/main">
                  <a:graphicData uri="http://schemas.microsoft.com/office/word/2010/wordprocessingShape">
                    <wps:wsp>
                      <wps:cNvSpPr txBox="1"/>
                      <wps:spPr>
                        <a:xfrm>
                          <a:off x="0" y="0"/>
                          <a:ext cx="20872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Winklevoss Capital Fund, LLC (“</w:t>
                            </w:r>
                          </w:p>
                        </w:txbxContent>
                      </wps:txbx>
                      <wps:bodyPr anchor="t" lIns="0" tIns="0" rIns="0" bIns="0">
                        <a:noAutofit/>
                      </wps:bodyPr>
                    </wps:wsp>
                  </a:graphicData>
                </a:graphic>
              </wp:anchor>
            </w:drawing>
          </mc:Choice>
          <mc:Fallback>
            <w:pict>
              <v:rect style="position:absolute;rotation:-0;width:164.35pt;height:13.8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Winklevoss Capital Fund, LLC (“</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6976110</wp:posOffset>
                </wp:positionH>
                <wp:positionV relativeFrom="line">
                  <wp:posOffset>635</wp:posOffset>
                </wp:positionV>
                <wp:extent cx="38100" cy="175260"/>
                <wp:effectExtent l="0" t="0" r="0" b="0"/>
                <wp:wrapNone/>
                <wp:docPr id="47" name="Frame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3901440</wp:posOffset>
                </wp:positionH>
                <wp:positionV relativeFrom="line">
                  <wp:posOffset>635</wp:posOffset>
                </wp:positionV>
                <wp:extent cx="3074670" cy="175260"/>
                <wp:effectExtent l="0" t="0" r="0" b="0"/>
                <wp:wrapNone/>
                <wp:docPr id="48" name="Frame7"/>
                <a:graphic xmlns:a="http://schemas.openxmlformats.org/drawingml/2006/main">
                  <a:graphicData uri="http://schemas.microsoft.com/office/word/2010/wordprocessingShape">
                    <wps:wsp>
                      <wps:cNvSpPr txBox="1"/>
                      <wps:spPr>
                        <a:xfrm>
                          <a:off x="0" y="0"/>
                          <a:ext cx="30746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dated May 14, 2026, is made by and between</w:t>
                            </w:r>
                          </w:p>
                        </w:txbxContent>
                      </wps:txbx>
                      <wps:bodyPr anchor="t" lIns="0" tIns="0" rIns="0" bIns="0">
                        <a:noAutofit/>
                      </wps:bodyPr>
                    </wps:wsp>
                  </a:graphicData>
                </a:graphic>
              </wp:anchor>
            </w:drawing>
          </mc:Choice>
          <mc:Fallback>
            <w:pict>
              <v:rect style="position:absolute;rotation:-0;width:242.1pt;height:13.8pt;mso-wrap-distance-left:0pt;mso-wrap-distance-right:0pt;mso-wrap-distance-top:0pt;mso-wrap-distance-bottom:0pt;margin-top:0pt;mso-position-vertical:top;mso-position-vertical-relative:text;margin-left:307.2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4"/>
                        </w:rPr>
                        <w:t>), dated May 14, 2026, is made by and between</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3139440</wp:posOffset>
                </wp:positionH>
                <wp:positionV relativeFrom="line">
                  <wp:posOffset>635</wp:posOffset>
                </wp:positionV>
                <wp:extent cx="761365" cy="350520"/>
                <wp:effectExtent l="0" t="0" r="0" b="0"/>
                <wp:wrapNone/>
                <wp:docPr id="49" name="Frame6"/>
                <a:graphic xmlns:a="http://schemas.openxmlformats.org/drawingml/2006/main">
                  <a:graphicData uri="http://schemas.microsoft.com/office/word/2010/wordprocessingShape">
                    <wps:wsp>
                      <wps:cNvSpPr txBox="1"/>
                      <wps:spPr>
                        <a:xfrm>
                          <a:off x="0" y="0"/>
                          <a:ext cx="761365" cy="350520"/>
                        </a:xfrm>
                        <a:prstGeom prst="rect"/>
                        <a:solidFill>
                          <a:srgbClr val="FFFFFF"/>
                        </a:solidFill>
                      </wps:spPr>
                      <wps:txbx>
                        <w:txbxContent>
                          <w:p>
                            <w:pPr>
                              <w:pStyle w:val="TextBody"/>
                              <w:bidi w:val="0"/>
                              <w:spacing w:before="0" w:after="283"/>
                              <w:jc w:val="left"/>
                              <w:rPr>
                                <w:rFonts w:ascii="Times New Roman;serif" w:hAnsi="Times New Roman;serif"/>
                                <w:b/>
                                <w:i/>
                                <w:sz w:val="24"/>
                              </w:rPr>
                            </w:pPr>
                            <w:r>
                              <w:rPr>
                                <w:rFonts w:ascii="Times New Roman;serif" w:hAnsi="Times New Roman;serif"/>
                                <w:b/>
                                <w:i/>
                                <w:sz w:val="24"/>
                              </w:rPr>
                              <w:t>Amendment</w:t>
                            </w:r>
                          </w:p>
                        </w:txbxContent>
                      </wps:txbx>
                      <wps:bodyPr anchor="t" lIns="0" tIns="0" rIns="0" bIns="0">
                        <a:noAutofit/>
                      </wps:bodyPr>
                    </wps:wsp>
                  </a:graphicData>
                </a:graphic>
              </wp:anchor>
            </w:drawing>
          </mc:Choice>
          <mc:Fallback>
            <w:pict>
              <v:rect style="position:absolute;rotation:-0;width:59.95pt;height:27.6pt;mso-wrap-distance-left:0pt;mso-wrap-distance-right:0pt;mso-wrap-distance-top:0pt;mso-wrap-distance-bottom:0pt;margin-top:0pt;mso-position-vertical:top;mso-position-vertical-relative:text;margin-left:247.2pt;mso-position-horizontal-relative:page">
                <v:textbox>
                  <w:txbxContent>
                    <w:p>
                      <w:pPr>
                        <w:pStyle w:val="TextBody"/>
                        <w:bidi w:val="0"/>
                        <w:spacing w:before="0" w:after="283"/>
                        <w:jc w:val="left"/>
                        <w:rPr>
                          <w:rFonts w:ascii="Times New Roman;serif" w:hAnsi="Times New Roman;serif"/>
                          <w:b/>
                          <w:i/>
                          <w:sz w:val="24"/>
                        </w:rPr>
                      </w:pPr>
                      <w:r>
                        <w:rPr>
                          <w:rFonts w:ascii="Times New Roman;serif" w:hAnsi="Times New Roman;serif"/>
                          <w:b/>
                          <w:i/>
                          <w:sz w:val="24"/>
                        </w:rPr>
                        <w:t>Amendment</w:t>
                      </w:r>
                    </w:p>
                  </w:txbxContent>
                </v:textbox>
                <w10:wrap type="none"/>
              </v:rect>
            </w:pict>
          </mc:Fallback>
        </mc:AlternateConten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i w:val="false"/>
          <w:caps w:val="false"/>
          <w:smallCaps w:val="false"/>
          <w:sz w:val="24"/>
          <w:shd w:fill="E4E4E4" w:val="clear"/>
        </w:rPr>
        <w:t>WHEREAS</w:t>
      </w:r>
      <w:r>
        <w:rPr>
          <w:rFonts w:ascii="Times New Roman;serif" w:hAnsi="Times New Roman;serif"/>
          <w:b w:val="false"/>
          <w:i w:val="false"/>
          <w:caps w:val="false"/>
          <w:smallCaps w:val="false"/>
          <w:sz w:val="24"/>
          <w:shd w:fill="E4E4E4" w:val="clear"/>
        </w:rPr>
        <w:t xml:space="preserve">, WCF and the Company are parties to the Registration Rights Agreement;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i w:val="false"/>
          <w:caps w:val="false"/>
          <w:smallCaps w:val="false"/>
          <w:sz w:val="24"/>
          <w:shd w:fill="E4E4E4" w:val="clear"/>
        </w:rPr>
        <w:t>WHEREAS</w:t>
      </w:r>
      <w:r>
        <w:rPr>
          <w:rFonts w:ascii="Times New Roman;serif" w:hAnsi="Times New Roman;serif"/>
          <w:b w:val="false"/>
          <w:i w:val="false"/>
          <w:caps w:val="false"/>
          <w:smallCaps w:val="false"/>
          <w:sz w:val="24"/>
          <w:shd w:fill="E4E4E4" w:val="clear"/>
        </w:rPr>
        <w:t xml:space="preserve">, WCF holds more than 50% of Registrable Securities outstanding as of the date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hereof;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2</w:t>
      </w:r>
      <w:r>
        <mc:AlternateContent>
          <mc:Choice Requires="wps">
            <w:drawing>
              <wp:anchor behindDoc="0" distT="0" distB="0" distL="0" distR="0" simplePos="0" locked="0" layoutInCell="1" allowOverlap="1" relativeHeight="132">
                <wp:simplePos x="0" y="0"/>
                <wp:positionH relativeFrom="page">
                  <wp:posOffset>1252855</wp:posOffset>
                </wp:positionH>
                <wp:positionV relativeFrom="line">
                  <wp:posOffset>635</wp:posOffset>
                </wp:positionV>
                <wp:extent cx="5723890" cy="175260"/>
                <wp:effectExtent l="0" t="0" r="0" b="0"/>
                <wp:wrapNone/>
                <wp:docPr id="50" name="Frame69"/>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removed; (c) such securities shall have been transferred in a transaction in which the</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removed; (c) such securities shall have been transferred in a transaction in which the</w:t>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6976745</wp:posOffset>
                </wp:positionH>
                <wp:positionV relativeFrom="line">
                  <wp:posOffset>635</wp:posOffset>
                </wp:positionV>
                <wp:extent cx="38100" cy="175260"/>
                <wp:effectExtent l="0" t="0" r="0" b="0"/>
                <wp:wrapNone/>
                <wp:docPr id="51" name="Frame5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1252855</wp:posOffset>
                </wp:positionH>
                <wp:positionV relativeFrom="line">
                  <wp:posOffset>635</wp:posOffset>
                </wp:positionV>
                <wp:extent cx="5722620" cy="175260"/>
                <wp:effectExtent l="0" t="0" r="0" b="0"/>
                <wp:wrapNone/>
                <wp:docPr id="52" name="Frame57"/>
                <a:graphic xmlns:a="http://schemas.openxmlformats.org/drawingml/2006/main">
                  <a:graphicData uri="http://schemas.microsoft.com/office/word/2010/wordprocessingShape">
                    <wps:wsp>
                      <wps:cNvSpPr txBox="1"/>
                      <wps:spPr>
                        <a:xfrm>
                          <a:off x="0" y="0"/>
                          <a:ext cx="57226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shares of Common Stock, or any stock dividend or stock distribution in respect of such shares</w:t>
                            </w:r>
                          </w:p>
                        </w:txbxContent>
                      </wps:txbx>
                      <wps:bodyPr anchor="t" lIns="0" tIns="0" rIns="0" bIns="0">
                        <a:noAutofit/>
                      </wps:bodyPr>
                    </wps:wsp>
                  </a:graphicData>
                </a:graphic>
              </wp:anchor>
            </w:drawing>
          </mc:Choice>
          <mc:Fallback>
            <w:pict>
              <v:rect style="position:absolute;rotation:-0;width:450.6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shares of Common Stock, or any stock dividend or stock distribution in respect of such shares</w:t>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6975475</wp:posOffset>
                </wp:positionH>
                <wp:positionV relativeFrom="line">
                  <wp:posOffset>635</wp:posOffset>
                </wp:positionV>
                <wp:extent cx="38100" cy="175260"/>
                <wp:effectExtent l="0" t="0" r="0" b="0"/>
                <wp:wrapNone/>
                <wp:docPr id="53" name="Frame5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1252855</wp:posOffset>
                </wp:positionH>
                <wp:positionV relativeFrom="line">
                  <wp:posOffset>635</wp:posOffset>
                </wp:positionV>
                <wp:extent cx="5723255" cy="175260"/>
                <wp:effectExtent l="0" t="0" r="0" b="0"/>
                <wp:wrapNone/>
                <wp:docPr id="54" name="Frame59"/>
                <a:graphic xmlns:a="http://schemas.openxmlformats.org/drawingml/2006/main">
                  <a:graphicData uri="http://schemas.microsoft.com/office/word/2010/wordprocessingShape">
                    <wps:wsp>
                      <wps:cNvSpPr txBox="1"/>
                      <wps:spPr>
                        <a:xfrm>
                          <a:off x="0" y="0"/>
                          <a:ext cx="57232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of Common Stock; provided, however, such securities shall cease to be Registrable Securities</w:t>
                            </w:r>
                          </w:p>
                        </w:txbxContent>
                      </wps:txbx>
                      <wps:bodyPr anchor="t" lIns="0" tIns="0" rIns="0" bIns="0">
                        <a:noAutofit/>
                      </wps:bodyPr>
                    </wps:wsp>
                  </a:graphicData>
                </a:graphic>
              </wp:anchor>
            </w:drawing>
          </mc:Choice>
          <mc:Fallback>
            <w:pict>
              <v:rect style="position:absolute;rotation:-0;width:450.65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of Common Stock; provided, however, such securities shall cease to be Registrable Securities</w:t>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6976110</wp:posOffset>
                </wp:positionH>
                <wp:positionV relativeFrom="line">
                  <wp:posOffset>635</wp:posOffset>
                </wp:positionV>
                <wp:extent cx="38100" cy="175260"/>
                <wp:effectExtent l="0" t="0" r="0" b="0"/>
                <wp:wrapNone/>
                <wp:docPr id="55" name="Frame6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1252855</wp:posOffset>
                </wp:positionH>
                <wp:positionV relativeFrom="line">
                  <wp:posOffset>635</wp:posOffset>
                </wp:positionV>
                <wp:extent cx="5723890" cy="175260"/>
                <wp:effectExtent l="0" t="0" r="0" b="0"/>
                <wp:wrapNone/>
                <wp:docPr id="56" name="Frame61"/>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on the earliest to occur of (a) a Registration Statement with respect to the sale of such</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on the earliest to occur of (a) a Registration Statement with respect to the sale of such</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6976745</wp:posOffset>
                </wp:positionH>
                <wp:positionV relativeFrom="line">
                  <wp:posOffset>635</wp:posOffset>
                </wp:positionV>
                <wp:extent cx="38100" cy="175260"/>
                <wp:effectExtent l="0" t="0" r="0" b="0"/>
                <wp:wrapNone/>
                <wp:docPr id="57" name="Frame6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1252855</wp:posOffset>
                </wp:positionH>
                <wp:positionV relativeFrom="line">
                  <wp:posOffset>635</wp:posOffset>
                </wp:positionV>
                <wp:extent cx="5723890" cy="175260"/>
                <wp:effectExtent l="0" t="0" r="0" b="0"/>
                <wp:wrapNone/>
                <wp:docPr id="58" name="Frame63"/>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securities shall have become effective under the Securities Act and such securities shall have</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securities shall have become effective under the Securities Act and such securities shall have</w:t>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6976745</wp:posOffset>
                </wp:positionH>
                <wp:positionV relativeFrom="line">
                  <wp:posOffset>635</wp:posOffset>
                </wp:positionV>
                <wp:extent cx="38100" cy="175260"/>
                <wp:effectExtent l="0" t="0" r="0" b="0"/>
                <wp:wrapNone/>
                <wp:docPr id="59" name="Frame6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1252855</wp:posOffset>
                </wp:positionH>
                <wp:positionV relativeFrom="line">
                  <wp:posOffset>635</wp:posOffset>
                </wp:positionV>
                <wp:extent cx="5723890" cy="175260"/>
                <wp:effectExtent l="0" t="0" r="0" b="0"/>
                <wp:wrapNone/>
                <wp:docPr id="60" name="Frame65"/>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been disposed of in accordance with such Registration Statement; (b) such securities shall</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been disposed of in accordance with such Registration Statement; (b) such securities shall</w:t>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6976745</wp:posOffset>
                </wp:positionH>
                <wp:positionV relativeFrom="line">
                  <wp:posOffset>635</wp:posOffset>
                </wp:positionV>
                <wp:extent cx="38100" cy="175260"/>
                <wp:effectExtent l="0" t="0" r="0" b="0"/>
                <wp:wrapNone/>
                <wp:docPr id="61" name="Frame6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1252855</wp:posOffset>
                </wp:positionH>
                <wp:positionV relativeFrom="line">
                  <wp:posOffset>635</wp:posOffset>
                </wp:positionV>
                <wp:extent cx="5722620" cy="175260"/>
                <wp:effectExtent l="0" t="0" r="0" b="0"/>
                <wp:wrapNone/>
                <wp:docPr id="62" name="Frame67"/>
                <a:graphic xmlns:a="http://schemas.openxmlformats.org/drawingml/2006/main">
                  <a:graphicData uri="http://schemas.microsoft.com/office/word/2010/wordprocessingShape">
                    <wps:wsp>
                      <wps:cNvSpPr txBox="1"/>
                      <wps:spPr>
                        <a:xfrm>
                          <a:off x="0" y="0"/>
                          <a:ext cx="57226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have been sold in accordance with Rule 144 and the restrictive legend shall have been</w:t>
                            </w:r>
                          </w:p>
                        </w:txbxContent>
                      </wps:txbx>
                      <wps:bodyPr anchor="t" lIns="0" tIns="0" rIns="0" bIns="0">
                        <a:noAutofit/>
                      </wps:bodyPr>
                    </wps:wsp>
                  </a:graphicData>
                </a:graphic>
              </wp:anchor>
            </w:drawing>
          </mc:Choice>
          <mc:Fallback>
            <w:pict>
              <v:rect style="position:absolute;rotation:-0;width:450.6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have been sold in accordance with Rule 144 and the restrictive legend shall have been</w:t>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6975475</wp:posOffset>
                </wp:positionH>
                <wp:positionV relativeFrom="line">
                  <wp:posOffset>635</wp:posOffset>
                </wp:positionV>
                <wp:extent cx="38100" cy="175260"/>
                <wp:effectExtent l="0" t="0" r="0" b="0"/>
                <wp:wrapNone/>
                <wp:docPr id="63" name="Frame6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1252855</wp:posOffset>
                </wp:positionH>
                <wp:positionV relativeFrom="line">
                  <wp:posOffset>635</wp:posOffset>
                </wp:positionV>
                <wp:extent cx="5723890" cy="350520"/>
                <wp:effectExtent l="0" t="0" r="0" b="0"/>
                <wp:wrapNone/>
                <wp:docPr id="64" name="Frame55"/>
                <a:graphic xmlns:a="http://schemas.openxmlformats.org/drawingml/2006/main">
                  <a:graphicData uri="http://schemas.microsoft.com/office/word/2010/wordprocessingShape">
                    <wps:wsp>
                      <wps:cNvSpPr txBox="1"/>
                      <wps:spPr>
                        <a:xfrm>
                          <a:off x="0" y="0"/>
                          <a:ext cx="572389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reclassification, recapitalization, stock split or combination, exchange or readjustment of such</w:t>
                            </w:r>
                          </w:p>
                        </w:txbxContent>
                      </wps:txbx>
                      <wps:bodyPr anchor="t" lIns="0" tIns="0" rIns="0" bIns="0">
                        <a:noAutofit/>
                      </wps:bodyPr>
                    </wps:wsp>
                  </a:graphicData>
                </a:graphic>
              </wp:anchor>
            </w:drawing>
          </mc:Choice>
          <mc:Fallback>
            <w:pict>
              <v:rect style="position:absolute;rotation:-0;width:450.7pt;height:27.6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reclassification, recapitalization, stock split or combination, exchange or readjustment of such</w:t>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6976745</wp:posOffset>
                </wp:positionH>
                <wp:positionV relativeFrom="line">
                  <wp:posOffset>635</wp:posOffset>
                </wp:positionV>
                <wp:extent cx="38100" cy="175260"/>
                <wp:effectExtent l="0" t="0" r="0" b="0"/>
                <wp:wrapNone/>
                <wp:docPr id="65" name="Frame7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1252855</wp:posOffset>
                </wp:positionH>
                <wp:positionV relativeFrom="line">
                  <wp:posOffset>635</wp:posOffset>
                </wp:positionV>
                <wp:extent cx="5722620" cy="175260"/>
                <wp:effectExtent l="0" t="0" r="0" b="0"/>
                <wp:wrapNone/>
                <wp:docPr id="66" name="Frame71"/>
                <a:graphic xmlns:a="http://schemas.openxmlformats.org/drawingml/2006/main">
                  <a:graphicData uri="http://schemas.microsoft.com/office/word/2010/wordprocessingShape">
                    <wps:wsp>
                      <wps:cNvSpPr txBox="1"/>
                      <wps:spPr>
                        <a:xfrm>
                          <a:off x="0" y="0"/>
                          <a:ext cx="57226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transferor’s rights under this Agreement are not assigned to the transferee of the securities in</w:t>
                            </w:r>
                          </w:p>
                        </w:txbxContent>
                      </wps:txbx>
                      <wps:bodyPr anchor="t" lIns="0" tIns="0" rIns="0" bIns="0">
                        <a:noAutofit/>
                      </wps:bodyPr>
                    </wps:wsp>
                  </a:graphicData>
                </a:graphic>
              </wp:anchor>
            </w:drawing>
          </mc:Choice>
          <mc:Fallback>
            <w:pict>
              <v:rect style="position:absolute;rotation:-0;width:450.6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transferor’s rights under this Agreement are not assigned to the transferee of the securities in</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6975475</wp:posOffset>
                </wp:positionH>
                <wp:positionV relativeFrom="line">
                  <wp:posOffset>635</wp:posOffset>
                </wp:positionV>
                <wp:extent cx="38100" cy="175260"/>
                <wp:effectExtent l="0" t="0" r="0" b="0"/>
                <wp:wrapNone/>
                <wp:docPr id="67" name="Frame7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1252855</wp:posOffset>
                </wp:positionH>
                <wp:positionV relativeFrom="line">
                  <wp:posOffset>635</wp:posOffset>
                </wp:positionV>
                <wp:extent cx="5723890" cy="175260"/>
                <wp:effectExtent l="0" t="0" r="0" b="0"/>
                <wp:wrapNone/>
                <wp:docPr id="68" name="Frame73"/>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accordance with the terms hereof; (d) such securities shall have been otherwise transferred,</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accordance with the terms hereof; (d) such securities shall have been otherwise transferred,</w:t>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6976110</wp:posOffset>
                </wp:positionH>
                <wp:positionV relativeFrom="line">
                  <wp:posOffset>635</wp:posOffset>
                </wp:positionV>
                <wp:extent cx="38100" cy="175260"/>
                <wp:effectExtent l="0" t="0" r="0" b="0"/>
                <wp:wrapNone/>
                <wp:docPr id="69" name="Frame7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1252855</wp:posOffset>
                </wp:positionH>
                <wp:positionV relativeFrom="line">
                  <wp:posOffset>635</wp:posOffset>
                </wp:positionV>
                <wp:extent cx="5723890" cy="175260"/>
                <wp:effectExtent l="0" t="0" r="0" b="0"/>
                <wp:wrapNone/>
                <wp:docPr id="70" name="Frame75"/>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new certificates or book entry credits for such securities not bearing a legend restricting</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new certificates or book entry credits for such securities not bearing a legend restricting</w:t>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6976110</wp:posOffset>
                </wp:positionH>
                <wp:positionV relativeFrom="line">
                  <wp:posOffset>635</wp:posOffset>
                </wp:positionV>
                <wp:extent cx="38100" cy="175260"/>
                <wp:effectExtent l="0" t="0" r="0" b="0"/>
                <wp:wrapNone/>
                <wp:docPr id="71" name="Frame7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1252855</wp:posOffset>
                </wp:positionH>
                <wp:positionV relativeFrom="line">
                  <wp:posOffset>635</wp:posOffset>
                </wp:positionV>
                <wp:extent cx="5722620" cy="175260"/>
                <wp:effectExtent l="0" t="0" r="0" b="0"/>
                <wp:wrapNone/>
                <wp:docPr id="72" name="Frame77"/>
                <a:graphic xmlns:a="http://schemas.openxmlformats.org/drawingml/2006/main">
                  <a:graphicData uri="http://schemas.microsoft.com/office/word/2010/wordprocessingShape">
                    <wps:wsp>
                      <wps:cNvSpPr txBox="1"/>
                      <wps:spPr>
                        <a:xfrm>
                          <a:off x="0" y="0"/>
                          <a:ext cx="57226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further transfer shall have been delivered by PubCo and subsequent public distribution of</w:t>
                            </w:r>
                          </w:p>
                        </w:txbxContent>
                      </wps:txbx>
                      <wps:bodyPr anchor="t" lIns="0" tIns="0" rIns="0" bIns="0">
                        <a:noAutofit/>
                      </wps:bodyPr>
                    </wps:wsp>
                  </a:graphicData>
                </a:graphic>
              </wp:anchor>
            </w:drawing>
          </mc:Choice>
          <mc:Fallback>
            <w:pict>
              <v:rect style="position:absolute;rotation:-0;width:450.6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further transfer shall have been delivered by PubCo and subsequent public distribution of</w:t>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6975475</wp:posOffset>
                </wp:positionH>
                <wp:positionV relativeFrom="line">
                  <wp:posOffset>635</wp:posOffset>
                </wp:positionV>
                <wp:extent cx="38100" cy="175260"/>
                <wp:effectExtent l="0" t="0" r="0" b="0"/>
                <wp:wrapNone/>
                <wp:docPr id="73" name="Frame7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1252855</wp:posOffset>
                </wp:positionH>
                <wp:positionV relativeFrom="line">
                  <wp:posOffset>635</wp:posOffset>
                </wp:positionV>
                <wp:extent cx="5723890" cy="175260"/>
                <wp:effectExtent l="0" t="0" r="0" b="0"/>
                <wp:wrapNone/>
                <wp:docPr id="74" name="Frame79"/>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such securities shall not require registration under the Securities Act; or (e) such securities</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such securities shall not require registration under the Securities Act; or (e) such securities</w:t>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6976745</wp:posOffset>
                </wp:positionH>
                <wp:positionV relativeFrom="line">
                  <wp:posOffset>635</wp:posOffset>
                </wp:positionV>
                <wp:extent cx="38100" cy="175260"/>
                <wp:effectExtent l="0" t="0" r="0" b="0"/>
                <wp:wrapNone/>
                <wp:docPr id="75" name="Frame8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1252855</wp:posOffset>
                </wp:positionH>
                <wp:positionV relativeFrom="line">
                  <wp:posOffset>635</wp:posOffset>
                </wp:positionV>
                <wp:extent cx="1856740" cy="350520"/>
                <wp:effectExtent l="0" t="0" r="0" b="0"/>
                <wp:wrapNone/>
                <wp:docPr id="76" name="Frame81"/>
                <a:graphic xmlns:a="http://schemas.openxmlformats.org/drawingml/2006/main">
                  <a:graphicData uri="http://schemas.microsoft.com/office/word/2010/wordprocessingShape">
                    <wps:wsp>
                      <wps:cNvSpPr txBox="1"/>
                      <wps:spPr>
                        <a:xfrm>
                          <a:off x="0" y="0"/>
                          <a:ext cx="185674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have ceased to be outstanding.</w:t>
                            </w:r>
                          </w:p>
                        </w:txbxContent>
                      </wps:txbx>
                      <wps:bodyPr anchor="t" lIns="0" tIns="0" rIns="0" bIns="0">
                        <a:noAutofit/>
                      </wps:bodyPr>
                    </wps:wsp>
                  </a:graphicData>
                </a:graphic>
              </wp:anchor>
            </w:drawing>
          </mc:Choice>
          <mc:Fallback>
            <w:pict>
              <v:rect style="position:absolute;rotation:-0;width:146.2pt;height:27.6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have ceased to be outstanding.</w:t>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1710055</wp:posOffset>
                </wp:positionH>
                <wp:positionV relativeFrom="line">
                  <wp:posOffset>635</wp:posOffset>
                </wp:positionV>
                <wp:extent cx="5266690" cy="175260"/>
                <wp:effectExtent l="0" t="0" r="0" b="0"/>
                <wp:wrapNone/>
                <wp:docPr id="77" name="Frame42"/>
                <a:graphic xmlns:a="http://schemas.openxmlformats.org/drawingml/2006/main">
                  <a:graphicData uri="http://schemas.microsoft.com/office/word/2010/wordprocessingShape">
                    <wps:wsp>
                      <wps:cNvSpPr txBox="1"/>
                      <wps:spPr>
                        <a:xfrm>
                          <a:off x="0" y="0"/>
                          <a:ext cx="52666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Section (a)(xvii) of the Registration Rights Agreement is hereby amended and</w:t>
                            </w:r>
                          </w:p>
                        </w:txbxContent>
                      </wps:txbx>
                      <wps:bodyPr anchor="t" lIns="0" tIns="0" rIns="0" bIns="0">
                        <a:noAutofit/>
                      </wps:bodyPr>
                    </wps:wsp>
                  </a:graphicData>
                </a:graphic>
              </wp:anchor>
            </w:drawing>
          </mc:Choice>
          <mc:Fallback>
            <w:pict>
              <v:rect style="position:absolute;rotation:-0;width:414.7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Section (a)(xvii) of the Registration Rights Agreement is hereby amended and</w:t>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2031365</wp:posOffset>
                </wp:positionH>
                <wp:positionV relativeFrom="line">
                  <wp:posOffset>635</wp:posOffset>
                </wp:positionV>
                <wp:extent cx="4945380" cy="175260"/>
                <wp:effectExtent l="0" t="0" r="0" b="0"/>
                <wp:wrapNone/>
                <wp:docPr id="78" name="Frame29"/>
                <a:graphic xmlns:a="http://schemas.openxmlformats.org/drawingml/2006/main">
                  <a:graphicData uri="http://schemas.microsoft.com/office/word/2010/wordprocessingShape">
                    <wps:wsp>
                      <wps:cNvSpPr txBox="1"/>
                      <wps:spPr>
                        <a:xfrm>
                          <a:off x="0" y="0"/>
                          <a:ext cx="494538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in accordance with Section (b)(xviii) of the Registration Rights Agreement, the</w:t>
                            </w:r>
                          </w:p>
                        </w:txbxContent>
                      </wps:txbx>
                      <wps:bodyPr anchor="t" lIns="0" tIns="0" rIns="0" bIns="0">
                        <a:noAutofit/>
                      </wps:bodyPr>
                    </wps:wsp>
                  </a:graphicData>
                </a:graphic>
              </wp:anchor>
            </w:drawing>
          </mc:Choice>
          <mc:Fallback>
            <w:pict>
              <v:rect style="position:absolute;rotation:-0;width:389.4pt;height:13.8pt;mso-wrap-distance-left:0pt;mso-wrap-distance-right:0pt;mso-wrap-distance-top:0pt;mso-wrap-distance-bottom:0pt;margin-top:0pt;mso-position-vertical:top;mso-position-vertical-relative:text;margin-left:159.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in accordance with Section (b)(xviii) of the Registration Rights Agreement, the</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6976745</wp:posOffset>
                </wp:positionH>
                <wp:positionV relativeFrom="line">
                  <wp:posOffset>635</wp:posOffset>
                </wp:positionV>
                <wp:extent cx="38100" cy="175260"/>
                <wp:effectExtent l="0" t="0" r="0" b="0"/>
                <wp:wrapNone/>
                <wp:docPr id="79" name="Frame3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795655</wp:posOffset>
                </wp:positionH>
                <wp:positionV relativeFrom="line">
                  <wp:posOffset>635</wp:posOffset>
                </wp:positionV>
                <wp:extent cx="6179820" cy="175260"/>
                <wp:effectExtent l="0" t="0" r="0" b="0"/>
                <wp:wrapNone/>
                <wp:docPr id="80" name="Frame31"/>
                <a:graphic xmlns:a="http://schemas.openxmlformats.org/drawingml/2006/main">
                  <a:graphicData uri="http://schemas.microsoft.com/office/word/2010/wordprocessingShape">
                    <wps:wsp>
                      <wps:cNvSpPr txBox="1"/>
                      <wps:spPr>
                        <a:xfrm>
                          <a:off x="0" y="0"/>
                          <a:ext cx="61798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Parties wish to amend Sections (a)(xvii) and (b)(i)(2) of the Registration Rights Agreement as set</w:t>
                            </w:r>
                          </w:p>
                        </w:txbxContent>
                      </wps:txbx>
                      <wps:bodyPr anchor="t" lIns="0" tIns="0" rIns="0" bIns="0">
                        <a:noAutofit/>
                      </wps:bodyPr>
                    </wps:wsp>
                  </a:graphicData>
                </a:graphic>
              </wp:anchor>
            </w:drawing>
          </mc:Choice>
          <mc:Fallback>
            <w:pict>
              <v:rect style="position:absolute;rotation:-0;width:486.6pt;height:13.8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Parties wish to amend Sections (a)(xvii) and (b)(i)(2) of the Registration Rights Agreement as set</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6975475</wp:posOffset>
                </wp:positionH>
                <wp:positionV relativeFrom="line">
                  <wp:posOffset>635</wp:posOffset>
                </wp:positionV>
                <wp:extent cx="38100" cy="175260"/>
                <wp:effectExtent l="0" t="0" r="0" b="0"/>
                <wp:wrapNone/>
                <wp:docPr id="81" name="Frame3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795655</wp:posOffset>
                </wp:positionH>
                <wp:positionV relativeFrom="line">
                  <wp:posOffset>635</wp:posOffset>
                </wp:positionV>
                <wp:extent cx="752475" cy="350520"/>
                <wp:effectExtent l="0" t="0" r="0" b="0"/>
                <wp:wrapNone/>
                <wp:docPr id="82" name="Frame33"/>
                <a:graphic xmlns:a="http://schemas.openxmlformats.org/drawingml/2006/main">
                  <a:graphicData uri="http://schemas.microsoft.com/office/word/2010/wordprocessingShape">
                    <wps:wsp>
                      <wps:cNvSpPr txBox="1"/>
                      <wps:spPr>
                        <a:xfrm>
                          <a:off x="0" y="0"/>
                          <a:ext cx="75247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forth herein.</w:t>
                            </w:r>
                          </w:p>
                        </w:txbxContent>
                      </wps:txbx>
                      <wps:bodyPr anchor="t" lIns="0" tIns="0" rIns="0" bIns="0">
                        <a:noAutofit/>
                      </wps:bodyPr>
                    </wps:wsp>
                  </a:graphicData>
                </a:graphic>
              </wp:anchor>
            </w:drawing>
          </mc:Choice>
          <mc:Fallback>
            <w:pict>
              <v:rect style="position:absolute;rotation:-0;width:59.25pt;height:27.6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forth herein.</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795655</wp:posOffset>
                </wp:positionH>
                <wp:positionV relativeFrom="line">
                  <wp:posOffset>635</wp:posOffset>
                </wp:positionV>
                <wp:extent cx="14605" cy="175260"/>
                <wp:effectExtent l="0" t="0" r="0" b="0"/>
                <wp:wrapNone/>
                <wp:docPr id="83" name="Frame34"/>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1252855</wp:posOffset>
                </wp:positionH>
                <wp:positionV relativeFrom="line">
                  <wp:posOffset>635</wp:posOffset>
                </wp:positionV>
                <wp:extent cx="1441450" cy="175260"/>
                <wp:effectExtent l="0" t="0" r="0" b="0"/>
                <wp:wrapNone/>
                <wp:docPr id="84" name="Frame35"/>
                <a:graphic xmlns:a="http://schemas.openxmlformats.org/drawingml/2006/main">
                  <a:graphicData uri="http://schemas.microsoft.com/office/word/2010/wordprocessingShape">
                    <wps:wsp>
                      <wps:cNvSpPr txBox="1"/>
                      <wps:spPr>
                        <a:xfrm>
                          <a:off x="0" y="0"/>
                          <a:ext cx="1441450" cy="175260"/>
                        </a:xfrm>
                        <a:prstGeom prst="rect"/>
                        <a:solidFill>
                          <a:srgbClr val="FFFFFF"/>
                        </a:solidFill>
                      </wps:spPr>
                      <wps:txbx>
                        <w:txbxContent>
                          <w:p>
                            <w:pPr>
                              <w:pStyle w:val="TextBody"/>
                              <w:bidi w:val="0"/>
                              <w:spacing w:before="0" w:after="283"/>
                              <w:jc w:val="left"/>
                              <w:rPr/>
                            </w:pPr>
                            <w:r>
                              <w:rPr/>
                              <w:t>NOW, THEREFORE</w:t>
                            </w:r>
                          </w:p>
                        </w:txbxContent>
                      </wps:txbx>
                      <wps:bodyPr anchor="t" lIns="0" tIns="0" rIns="0" bIns="0">
                        <a:noAutofit/>
                      </wps:bodyPr>
                    </wps:wsp>
                  </a:graphicData>
                </a:graphic>
              </wp:anchor>
            </w:drawing>
          </mc:Choice>
          <mc:Fallback>
            <w:pict>
              <v:rect style="position:absolute;rotation:-0;width:113.5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pPr>
                      <w:r>
                        <w:rPr/>
                        <w:t>NOW, THEREFORE</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2694305</wp:posOffset>
                </wp:positionH>
                <wp:positionV relativeFrom="line">
                  <wp:posOffset>635</wp:posOffset>
                </wp:positionV>
                <wp:extent cx="4281805" cy="175260"/>
                <wp:effectExtent l="0" t="0" r="0" b="0"/>
                <wp:wrapNone/>
                <wp:docPr id="85" name="Frame36"/>
                <a:graphic xmlns:a="http://schemas.openxmlformats.org/drawingml/2006/main">
                  <a:graphicData uri="http://schemas.microsoft.com/office/word/2010/wordprocessingShape">
                    <wps:wsp>
                      <wps:cNvSpPr txBox="1"/>
                      <wps:spPr>
                        <a:xfrm>
                          <a:off x="0" y="0"/>
                          <a:ext cx="428180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in consideration of the foregoing recitals and for other good and</w:t>
                            </w:r>
                          </w:p>
                        </w:txbxContent>
                      </wps:txbx>
                      <wps:bodyPr anchor="t" lIns="0" tIns="0" rIns="0" bIns="0">
                        <a:noAutofit/>
                      </wps:bodyPr>
                    </wps:wsp>
                  </a:graphicData>
                </a:graphic>
              </wp:anchor>
            </w:drawing>
          </mc:Choice>
          <mc:Fallback>
            <w:pict>
              <v:rect style="position:absolute;rotation:-0;width:337.15pt;height:13.8pt;mso-wrap-distance-left:0pt;mso-wrap-distance-right:0pt;mso-wrap-distance-top:0pt;mso-wrap-distance-bottom:0pt;margin-top:0pt;mso-position-vertical:top;mso-position-vertical-relative:text;margin-left:212.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in consideration of the foregoing recitals and for other good and</w:t>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6976110</wp:posOffset>
                </wp:positionH>
                <wp:positionV relativeFrom="line">
                  <wp:posOffset>635</wp:posOffset>
                </wp:positionV>
                <wp:extent cx="38100" cy="175260"/>
                <wp:effectExtent l="0" t="0" r="0" b="0"/>
                <wp:wrapNone/>
                <wp:docPr id="86" name="Frame3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795655</wp:posOffset>
                </wp:positionH>
                <wp:positionV relativeFrom="line">
                  <wp:posOffset>635</wp:posOffset>
                </wp:positionV>
                <wp:extent cx="6181090" cy="175260"/>
                <wp:effectExtent l="0" t="0" r="0" b="0"/>
                <wp:wrapNone/>
                <wp:docPr id="87" name="Frame38"/>
                <a:graphic xmlns:a="http://schemas.openxmlformats.org/drawingml/2006/main">
                  <a:graphicData uri="http://schemas.microsoft.com/office/word/2010/wordprocessingShape">
                    <wps:wsp>
                      <wps:cNvSpPr txBox="1"/>
                      <wps:spPr>
                        <a:xfrm>
                          <a:off x="0" y="0"/>
                          <a:ext cx="61810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valuable consideration, the adequacy and sufficiency of which are hereby acknowledged, the</w:t>
                            </w:r>
                          </w:p>
                        </w:txbxContent>
                      </wps:txbx>
                      <wps:bodyPr anchor="t" lIns="0" tIns="0" rIns="0" bIns="0">
                        <a:noAutofit/>
                      </wps:bodyPr>
                    </wps:wsp>
                  </a:graphicData>
                </a:graphic>
              </wp:anchor>
            </w:drawing>
          </mc:Choice>
          <mc:Fallback>
            <w:pict>
              <v:rect style="position:absolute;rotation:-0;width:486.7pt;height:13.8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valuable consideration, the adequacy and sufficiency of which are hereby acknowledged, the</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6976110</wp:posOffset>
                </wp:positionH>
                <wp:positionV relativeFrom="line">
                  <wp:posOffset>635</wp:posOffset>
                </wp:positionV>
                <wp:extent cx="38100" cy="175260"/>
                <wp:effectExtent l="0" t="0" r="0" b="0"/>
                <wp:wrapNone/>
                <wp:docPr id="88" name="Frame3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795655</wp:posOffset>
                </wp:positionH>
                <wp:positionV relativeFrom="line">
                  <wp:posOffset>635</wp:posOffset>
                </wp:positionV>
                <wp:extent cx="2326005" cy="350520"/>
                <wp:effectExtent l="0" t="0" r="0" b="0"/>
                <wp:wrapNone/>
                <wp:docPr id="89" name="Frame40"/>
                <a:graphic xmlns:a="http://schemas.openxmlformats.org/drawingml/2006/main">
                  <a:graphicData uri="http://schemas.microsoft.com/office/word/2010/wordprocessingShape">
                    <wps:wsp>
                      <wps:cNvSpPr txBox="1"/>
                      <wps:spPr>
                        <a:xfrm>
                          <a:off x="0" y="0"/>
                          <a:ext cx="232600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undersigned hereby agrees as follows:</w:t>
                            </w:r>
                          </w:p>
                        </w:txbxContent>
                      </wps:txbx>
                      <wps:bodyPr anchor="t" lIns="0" tIns="0" rIns="0" bIns="0">
                        <a:noAutofit/>
                      </wps:bodyPr>
                    </wps:wsp>
                  </a:graphicData>
                </a:graphic>
              </wp:anchor>
            </w:drawing>
          </mc:Choice>
          <mc:Fallback>
            <w:pict>
              <v:rect style="position:absolute;rotation:-0;width:183.15pt;height:27.6pt;mso-wrap-distance-left:0pt;mso-wrap-distance-right:0pt;mso-wrap-distance-top:0pt;mso-wrap-distance-bottom:0pt;margin-top:0pt;mso-position-vertical:top;mso-position-vertical-relative:text;margin-left:62.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undersigned hereby agrees as follows:</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1252855</wp:posOffset>
                </wp:positionH>
                <wp:positionV relativeFrom="line">
                  <wp:posOffset>635</wp:posOffset>
                </wp:positionV>
                <wp:extent cx="114300" cy="175260"/>
                <wp:effectExtent l="0" t="0" r="0" b="0"/>
                <wp:wrapNone/>
                <wp:docPr id="90" name="Frame41"/>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1.</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1.</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1252855</wp:posOffset>
                </wp:positionH>
                <wp:positionV relativeFrom="line">
                  <wp:posOffset>635</wp:posOffset>
                </wp:positionV>
                <wp:extent cx="778510" cy="350520"/>
                <wp:effectExtent l="0" t="0" r="0" b="0"/>
                <wp:wrapNone/>
                <wp:docPr id="91" name="Frame28"/>
                <a:graphic xmlns:a="http://schemas.openxmlformats.org/drawingml/2006/main">
                  <a:graphicData uri="http://schemas.microsoft.com/office/word/2010/wordprocessingShape">
                    <wps:wsp>
                      <wps:cNvSpPr txBox="1"/>
                      <wps:spPr>
                        <a:xfrm>
                          <a:off x="0" y="0"/>
                          <a:ext cx="778510" cy="35052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WHEREAS</w:t>
                            </w:r>
                          </w:p>
                        </w:txbxContent>
                      </wps:txbx>
                      <wps:bodyPr anchor="t" lIns="0" tIns="0" rIns="0" bIns="0">
                        <a:noAutofit/>
                      </wps:bodyPr>
                    </wps:wsp>
                  </a:graphicData>
                </a:graphic>
              </wp:anchor>
            </w:drawing>
          </mc:Choice>
          <mc:Fallback>
            <w:pict>
              <v:rect style="position:absolute;rotation:-0;width:61.3pt;height:27.6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WHEREAS</w:t>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page">
                  <wp:posOffset>6976110</wp:posOffset>
                </wp:positionH>
                <wp:positionV relativeFrom="line">
                  <wp:posOffset>635</wp:posOffset>
                </wp:positionV>
                <wp:extent cx="38100" cy="175260"/>
                <wp:effectExtent l="0" t="0" r="0" b="0"/>
                <wp:wrapNone/>
                <wp:docPr id="92" name="Frame4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1710055</wp:posOffset>
                </wp:positionH>
                <wp:positionV relativeFrom="line">
                  <wp:posOffset>635</wp:posOffset>
                </wp:positionV>
                <wp:extent cx="2016760" cy="350520"/>
                <wp:effectExtent l="0" t="0" r="0" b="0"/>
                <wp:wrapNone/>
                <wp:docPr id="93" name="Frame44"/>
                <a:graphic xmlns:a="http://schemas.openxmlformats.org/drawingml/2006/main">
                  <a:graphicData uri="http://schemas.microsoft.com/office/word/2010/wordprocessingShape">
                    <wps:wsp>
                      <wps:cNvSpPr txBox="1"/>
                      <wps:spPr>
                        <a:xfrm>
                          <a:off x="0" y="0"/>
                          <a:ext cx="201676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restated in its entirety as follows:</w:t>
                            </w:r>
                          </w:p>
                        </w:txbxContent>
                      </wps:txbx>
                      <wps:bodyPr anchor="t" lIns="0" tIns="0" rIns="0" bIns="0">
                        <a:noAutofit/>
                      </wps:bodyPr>
                    </wps:wsp>
                  </a:graphicData>
                </a:graphic>
              </wp:anchor>
            </w:drawing>
          </mc:Choice>
          <mc:Fallback>
            <w:pict>
              <v:rect style="position:absolute;rotation:-0;width:158.8pt;height:27.6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restated in its entirety as follows:</w:t>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1252855</wp:posOffset>
                </wp:positionH>
                <wp:positionV relativeFrom="line">
                  <wp:posOffset>635</wp:posOffset>
                </wp:positionV>
                <wp:extent cx="689610" cy="175260"/>
                <wp:effectExtent l="0" t="0" r="0" b="0"/>
                <wp:wrapNone/>
                <wp:docPr id="94" name="Frame45"/>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          “</w:t>
                            </w:r>
                          </w:p>
                        </w:txbxContent>
                      </wps:txbx>
                      <wps:bodyPr anchor="t" lIns="0" tIns="0" rIns="0" bIns="0">
                        <a:noAutofit/>
                      </wps:bodyPr>
                    </wps:wsp>
                  </a:graphicData>
                </a:graphic>
              </wp:anchor>
            </w:drawing>
          </mc:Choice>
          <mc:Fallback>
            <w:pict>
              <v:rect style="position:absolute;rotation:-0;width:54.3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          “</w:t>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1942465</wp:posOffset>
                </wp:positionH>
                <wp:positionV relativeFrom="line">
                  <wp:posOffset>635</wp:posOffset>
                </wp:positionV>
                <wp:extent cx="1423670" cy="175260"/>
                <wp:effectExtent l="0" t="0" r="0" b="0"/>
                <wp:wrapNone/>
                <wp:docPr id="95" name="Frame46"/>
                <a:graphic xmlns:a="http://schemas.openxmlformats.org/drawingml/2006/main">
                  <a:graphicData uri="http://schemas.microsoft.com/office/word/2010/wordprocessingShape">
                    <wps:wsp>
                      <wps:cNvSpPr txBox="1"/>
                      <wps:spPr>
                        <a:xfrm>
                          <a:off x="0" y="0"/>
                          <a:ext cx="1423670" cy="17526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Registrable Securities</w:t>
                            </w:r>
                          </w:p>
                        </w:txbxContent>
                      </wps:txbx>
                      <wps:bodyPr anchor="t" lIns="0" tIns="0" rIns="0" bIns="0">
                        <a:noAutofit/>
                      </wps:bodyPr>
                    </wps:wsp>
                  </a:graphicData>
                </a:graphic>
              </wp:anchor>
            </w:drawing>
          </mc:Choice>
          <mc:Fallback>
            <w:pict>
              <v:rect style="position:absolute;rotation:-0;width:112.1pt;height:13.8pt;mso-wrap-distance-left:0pt;mso-wrap-distance-right:0pt;mso-wrap-distance-top:0pt;mso-wrap-distance-bottom:0pt;margin-top:0pt;mso-position-vertical:top;mso-position-vertical-relative:text;margin-left:152.95pt;mso-position-horizontal-relative:page">
                <v:textbox>
                  <w:txbxContent>
                    <w:p>
                      <w:pPr>
                        <w:pStyle w:val="TextBody"/>
                        <w:bidi w:val="0"/>
                        <w:spacing w:before="0" w:after="283"/>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Registrable Securities</w:t>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3366135</wp:posOffset>
                </wp:positionH>
                <wp:positionV relativeFrom="line">
                  <wp:posOffset>635</wp:posOffset>
                </wp:positionV>
                <wp:extent cx="3608705" cy="175260"/>
                <wp:effectExtent l="0" t="0" r="0" b="0"/>
                <wp:wrapNone/>
                <wp:docPr id="96" name="Frame47"/>
                <a:graphic xmlns:a="http://schemas.openxmlformats.org/drawingml/2006/main">
                  <a:graphicData uri="http://schemas.microsoft.com/office/word/2010/wordprocessingShape">
                    <wps:wsp>
                      <wps:cNvSpPr txBox="1"/>
                      <wps:spPr>
                        <a:xfrm>
                          <a:off x="0" y="0"/>
                          <a:ext cx="360870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means any shares of Class A Common Stock (A) owned</w:t>
                            </w:r>
                          </w:p>
                        </w:txbxContent>
                      </wps:txbx>
                      <wps:bodyPr anchor="t" lIns="0" tIns="0" rIns="0" bIns="0">
                        <a:noAutofit/>
                      </wps:bodyPr>
                    </wps:wsp>
                  </a:graphicData>
                </a:graphic>
              </wp:anchor>
            </w:drawing>
          </mc:Choice>
          <mc:Fallback>
            <w:pict>
              <v:rect style="position:absolute;rotation:-0;width:284.15pt;height:13.8pt;mso-wrap-distance-left:0pt;mso-wrap-distance-right:0pt;mso-wrap-distance-top:0pt;mso-wrap-distance-bottom:0pt;margin-top:0pt;mso-position-vertical:top;mso-position-vertical-relative:text;margin-left:265.05pt;mso-position-horizontal-relative:page">
                <v:textbox>
                  <w:txbxContent>
                    <w:p>
                      <w:pPr>
                        <w:pStyle w:val="TextBody"/>
                        <w:bidi w:val="0"/>
                        <w:spacing w:before="0" w:after="283"/>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means any shares of Class A Common Stock (A) owned</w:t>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6974840</wp:posOffset>
                </wp:positionH>
                <wp:positionV relativeFrom="line">
                  <wp:posOffset>635</wp:posOffset>
                </wp:positionV>
                <wp:extent cx="38100" cy="175260"/>
                <wp:effectExtent l="0" t="0" r="0" b="0"/>
                <wp:wrapNone/>
                <wp:docPr id="97" name="Frame4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1252855</wp:posOffset>
                </wp:positionH>
                <wp:positionV relativeFrom="line">
                  <wp:posOffset>635</wp:posOffset>
                </wp:positionV>
                <wp:extent cx="5721985" cy="175260"/>
                <wp:effectExtent l="0" t="0" r="0" b="0"/>
                <wp:wrapNone/>
                <wp:docPr id="98" name="Frame49"/>
                <a:graphic xmlns:a="http://schemas.openxmlformats.org/drawingml/2006/main">
                  <a:graphicData uri="http://schemas.microsoft.com/office/word/2010/wordprocessingShape">
                    <wps:wsp>
                      <wps:cNvSpPr txBox="1"/>
                      <wps:spPr>
                        <a:xfrm>
                          <a:off x="0" y="0"/>
                          <a:ext cx="572198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by a Holder on the date hereof, (B) issued or issuable upon the conversion of shares of Class</w:t>
                            </w:r>
                          </w:p>
                        </w:txbxContent>
                      </wps:txbx>
                      <wps:bodyPr anchor="t" lIns="0" tIns="0" rIns="0" bIns="0">
                        <a:noAutofit/>
                      </wps:bodyPr>
                    </wps:wsp>
                  </a:graphicData>
                </a:graphic>
              </wp:anchor>
            </w:drawing>
          </mc:Choice>
          <mc:Fallback>
            <w:pict>
              <v:rect style="position:absolute;rotation:-0;width:450.55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by a Holder on the date hereof, (B) issued or issuable upon the conversion of shares of Class</w:t>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6974840</wp:posOffset>
                </wp:positionH>
                <wp:positionV relativeFrom="line">
                  <wp:posOffset>635</wp:posOffset>
                </wp:positionV>
                <wp:extent cx="38100" cy="175260"/>
                <wp:effectExtent l="0" t="0" r="0" b="0"/>
                <wp:wrapNone/>
                <wp:docPr id="99" name="Frame5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1252855</wp:posOffset>
                </wp:positionH>
                <wp:positionV relativeFrom="line">
                  <wp:posOffset>635</wp:posOffset>
                </wp:positionV>
                <wp:extent cx="5723890" cy="175260"/>
                <wp:effectExtent l="0" t="0" r="0" b="0"/>
                <wp:wrapNone/>
                <wp:docPr id="100" name="Frame51"/>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B Common Stock, or (C) acquired by WCF on the date hereof and thereafter, including, in</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B Common Stock, or (C) acquired by WCF on the date hereof and thereafter, including, in</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6976110</wp:posOffset>
                </wp:positionH>
                <wp:positionV relativeFrom="line">
                  <wp:posOffset>635</wp:posOffset>
                </wp:positionV>
                <wp:extent cx="38100" cy="175260"/>
                <wp:effectExtent l="0" t="0" r="0" b="0"/>
                <wp:wrapNone/>
                <wp:docPr id="101" name="Frame5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1252855</wp:posOffset>
                </wp:positionH>
                <wp:positionV relativeFrom="line">
                  <wp:posOffset>635</wp:posOffset>
                </wp:positionV>
                <wp:extent cx="5723890" cy="175260"/>
                <wp:effectExtent l="0" t="0" r="0" b="0"/>
                <wp:wrapNone/>
                <wp:docPr id="102" name="Frame53"/>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each case of clauses (A), (B) and (C), any securities acquired as a result of any</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each case of clauses (A), (B) and (C), any securities acquired as a result of any</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6976745</wp:posOffset>
                </wp:positionH>
                <wp:positionV relativeFrom="line">
                  <wp:posOffset>635</wp:posOffset>
                </wp:positionV>
                <wp:extent cx="38100" cy="175260"/>
                <wp:effectExtent l="0" t="0" r="0" b="0"/>
                <wp:wrapNone/>
                <wp:docPr id="103" name="Frame5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[SIGNATURE PAGE TO FOLLOW]</w:t>
      </w:r>
      <w:r>
        <mc:AlternateContent>
          <mc:Choice Requires="wps">
            <w:drawing>
              <wp:anchor behindDoc="0" distT="0" distB="0" distL="0" distR="0" simplePos="0" locked="0" layoutInCell="1" allowOverlap="1" relativeHeight="193">
                <wp:simplePos x="0" y="0"/>
                <wp:positionH relativeFrom="page">
                  <wp:posOffset>1710055</wp:posOffset>
                </wp:positionH>
                <wp:positionV relativeFrom="line">
                  <wp:posOffset>635</wp:posOffset>
                </wp:positionV>
                <wp:extent cx="5266055" cy="175260"/>
                <wp:effectExtent l="0" t="0" r="0" b="0"/>
                <wp:wrapNone/>
                <wp:docPr id="104" name="Frame130"/>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Amendment shall be governed by, and construed and enforced in accordance</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Amendment shall be governed by, and construed and enforced in accordance</w:t>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6975475</wp:posOffset>
                </wp:positionH>
                <wp:positionV relativeFrom="line">
                  <wp:posOffset>635</wp:posOffset>
                </wp:positionV>
                <wp:extent cx="38100" cy="175260"/>
                <wp:effectExtent l="0" t="0" r="0" b="0"/>
                <wp:wrapNone/>
                <wp:docPr id="105" name="Frame13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1">
                <wp:simplePos x="0" y="0"/>
                <wp:positionH relativeFrom="page">
                  <wp:posOffset>1710055</wp:posOffset>
                </wp:positionH>
                <wp:positionV relativeFrom="line">
                  <wp:posOffset>635</wp:posOffset>
                </wp:positionV>
                <wp:extent cx="5266055" cy="175260"/>
                <wp:effectExtent l="0" t="0" r="0" b="0"/>
                <wp:wrapNone/>
                <wp:docPr id="106" name="Frame138"/>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herein, is the entire, final, and complete agreement and understanding of the Parties</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herein, is the entire, final, and complete agreement and understanding of the Parties</w:t>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6975475</wp:posOffset>
                </wp:positionH>
                <wp:positionV relativeFrom="line">
                  <wp:posOffset>635</wp:posOffset>
                </wp:positionV>
                <wp:extent cx="38100" cy="175260"/>
                <wp:effectExtent l="0" t="0" r="0" b="0"/>
                <wp:wrapNone/>
                <wp:docPr id="107" name="Frame13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1710055</wp:posOffset>
                </wp:positionH>
                <wp:positionV relativeFrom="line">
                  <wp:posOffset>635</wp:posOffset>
                </wp:positionV>
                <wp:extent cx="5266055" cy="175260"/>
                <wp:effectExtent l="0" t="0" r="0" b="0"/>
                <wp:wrapNone/>
                <wp:docPr id="108" name="Frame136"/>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Amendment, together with the other documents and agreements referred to</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Amendment, together with the other documents and agreements referred to</w:t>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1252855</wp:posOffset>
                </wp:positionH>
                <wp:positionV relativeFrom="line">
                  <wp:posOffset>635</wp:posOffset>
                </wp:positionV>
                <wp:extent cx="114300" cy="175260"/>
                <wp:effectExtent l="0" t="0" r="0" b="0"/>
                <wp:wrapNone/>
                <wp:docPr id="109" name="Frame135"/>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6.</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6.</w:t>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1710055</wp:posOffset>
                </wp:positionH>
                <wp:positionV relativeFrom="line">
                  <wp:posOffset>635</wp:posOffset>
                </wp:positionV>
                <wp:extent cx="4255135" cy="350520"/>
                <wp:effectExtent l="0" t="0" r="0" b="0"/>
                <wp:wrapNone/>
                <wp:docPr id="110" name="Frame134"/>
                <a:graphic xmlns:a="http://schemas.openxmlformats.org/drawingml/2006/main">
                  <a:graphicData uri="http://schemas.microsoft.com/office/word/2010/wordprocessingShape">
                    <wps:wsp>
                      <wps:cNvSpPr txBox="1"/>
                      <wps:spPr>
                        <a:xfrm>
                          <a:off x="0" y="0"/>
                          <a:ext cx="425513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that would result in the application of the laws of another jurisdiction.</w:t>
                            </w:r>
                          </w:p>
                        </w:txbxContent>
                      </wps:txbx>
                      <wps:bodyPr anchor="t" lIns="0" tIns="0" rIns="0" bIns="0">
                        <a:noAutofit/>
                      </wps:bodyPr>
                    </wps:wsp>
                  </a:graphicData>
                </a:graphic>
              </wp:anchor>
            </w:drawing>
          </mc:Choice>
          <mc:Fallback>
            <w:pict>
              <v:rect style="position:absolute;rotation:-0;width:335.05pt;height:27.6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that would result in the application of the laws of another jurisdiction.</w:t>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6976745</wp:posOffset>
                </wp:positionH>
                <wp:positionV relativeFrom="line">
                  <wp:posOffset>635</wp:posOffset>
                </wp:positionV>
                <wp:extent cx="38100" cy="175260"/>
                <wp:effectExtent l="0" t="0" r="0" b="0"/>
                <wp:wrapNone/>
                <wp:docPr id="111" name="Frame13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1710055</wp:posOffset>
                </wp:positionH>
                <wp:positionV relativeFrom="line">
                  <wp:posOffset>635</wp:posOffset>
                </wp:positionV>
                <wp:extent cx="5266690" cy="175260"/>
                <wp:effectExtent l="0" t="0" r="0" b="0"/>
                <wp:wrapNone/>
                <wp:docPr id="112" name="Frame132"/>
                <a:graphic xmlns:a="http://schemas.openxmlformats.org/drawingml/2006/main">
                  <a:graphicData uri="http://schemas.microsoft.com/office/word/2010/wordprocessingShape">
                    <wps:wsp>
                      <wps:cNvSpPr txBox="1"/>
                      <wps:spPr>
                        <a:xfrm>
                          <a:off x="0" y="0"/>
                          <a:ext cx="52666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with, the laws of the State of Nevada, without regard to its rules of conflict of laws</w:t>
                            </w:r>
                          </w:p>
                        </w:txbxContent>
                      </wps:txbx>
                      <wps:bodyPr anchor="t" lIns="0" tIns="0" rIns="0" bIns="0">
                        <a:noAutofit/>
                      </wps:bodyPr>
                    </wps:wsp>
                  </a:graphicData>
                </a:graphic>
              </wp:anchor>
            </w:drawing>
          </mc:Choice>
          <mc:Fallback>
            <w:pict>
              <v:rect style="position:absolute;rotation:-0;width:414.7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with, the laws of the State of Nevada, without regard to its rules of conflict of laws</w:t>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6976110</wp:posOffset>
                </wp:positionH>
                <wp:positionV relativeFrom="line">
                  <wp:posOffset>635</wp:posOffset>
                </wp:positionV>
                <wp:extent cx="38100" cy="175260"/>
                <wp:effectExtent l="0" t="0" r="0" b="0"/>
                <wp:wrapNone/>
                <wp:docPr id="113" name="Frame13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3">
                <wp:simplePos x="0" y="0"/>
                <wp:positionH relativeFrom="page">
                  <wp:posOffset>1710055</wp:posOffset>
                </wp:positionH>
                <wp:positionV relativeFrom="line">
                  <wp:posOffset>635</wp:posOffset>
                </wp:positionV>
                <wp:extent cx="5266055" cy="175260"/>
                <wp:effectExtent l="0" t="0" r="0" b="0"/>
                <wp:wrapNone/>
                <wp:docPr id="114" name="Frame140"/>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hereto relating to the subject matter hereof and supersedes and replaces all prior and</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hereto relating to the subject matter hereof and supersedes and replaces all prior and</w:t>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1252855</wp:posOffset>
                </wp:positionH>
                <wp:positionV relativeFrom="line">
                  <wp:posOffset>635</wp:posOffset>
                </wp:positionV>
                <wp:extent cx="114300" cy="175260"/>
                <wp:effectExtent l="0" t="0" r="0" b="0"/>
                <wp:wrapNone/>
                <wp:docPr id="115" name="Frame129"/>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5.</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5.</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1710055</wp:posOffset>
                </wp:positionH>
                <wp:positionV relativeFrom="line">
                  <wp:posOffset>635</wp:posOffset>
                </wp:positionV>
                <wp:extent cx="418465" cy="350520"/>
                <wp:effectExtent l="0" t="0" r="0" b="0"/>
                <wp:wrapNone/>
                <wp:docPr id="116" name="Frame128"/>
                <a:graphic xmlns:a="http://schemas.openxmlformats.org/drawingml/2006/main">
                  <a:graphicData uri="http://schemas.microsoft.com/office/word/2010/wordprocessingShape">
                    <wps:wsp>
                      <wps:cNvSpPr txBox="1"/>
                      <wps:spPr>
                        <a:xfrm>
                          <a:off x="0" y="0"/>
                          <a:ext cx="4184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hereto.</w:t>
                            </w:r>
                          </w:p>
                        </w:txbxContent>
                      </wps:txbx>
                      <wps:bodyPr anchor="t" lIns="0" tIns="0" rIns="0" bIns="0">
                        <a:noAutofit/>
                      </wps:bodyPr>
                    </wps:wsp>
                  </a:graphicData>
                </a:graphic>
              </wp:anchor>
            </w:drawing>
          </mc:Choice>
          <mc:Fallback>
            <w:pict>
              <v:rect style="position:absolute;rotation:-0;width:32.95pt;height:27.6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hereto.</w:t>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6976745</wp:posOffset>
                </wp:positionH>
                <wp:positionV relativeFrom="line">
                  <wp:posOffset>635</wp:posOffset>
                </wp:positionV>
                <wp:extent cx="38100" cy="175260"/>
                <wp:effectExtent l="0" t="0" r="0" b="0"/>
                <wp:wrapNone/>
                <wp:docPr id="117" name="Frame12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1710055</wp:posOffset>
                </wp:positionH>
                <wp:positionV relativeFrom="line">
                  <wp:posOffset>635</wp:posOffset>
                </wp:positionV>
                <wp:extent cx="5266690" cy="175260"/>
                <wp:effectExtent l="0" t="0" r="0" b="0"/>
                <wp:wrapNone/>
                <wp:docPr id="118" name="Frame126"/>
                <a:graphic xmlns:a="http://schemas.openxmlformats.org/drawingml/2006/main">
                  <a:graphicData uri="http://schemas.microsoft.com/office/word/2010/wordprocessingShape">
                    <wps:wsp>
                      <wps:cNvSpPr txBox="1"/>
                      <wps:spPr>
                        <a:xfrm>
                          <a:off x="0" y="0"/>
                          <a:ext cx="52666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force and effect as originally constituted and is ratified and affirmed by the Parties</w:t>
                            </w:r>
                          </w:p>
                        </w:txbxContent>
                      </wps:txbx>
                      <wps:bodyPr anchor="t" lIns="0" tIns="0" rIns="0" bIns="0">
                        <a:noAutofit/>
                      </wps:bodyPr>
                    </wps:wsp>
                  </a:graphicData>
                </a:graphic>
              </wp:anchor>
            </w:drawing>
          </mc:Choice>
          <mc:Fallback>
            <w:pict>
              <v:rect style="position:absolute;rotation:-0;width:414.7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force and effect as originally constituted and is ratified and affirmed by the Parties</w:t>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6975475</wp:posOffset>
                </wp:positionH>
                <wp:positionV relativeFrom="line">
                  <wp:posOffset>635</wp:posOffset>
                </wp:positionV>
                <wp:extent cx="38100" cy="175260"/>
                <wp:effectExtent l="0" t="0" r="0" b="0"/>
                <wp:wrapNone/>
                <wp:docPr id="119" name="Frame12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1710055</wp:posOffset>
                </wp:positionH>
                <wp:positionV relativeFrom="line">
                  <wp:posOffset>635</wp:posOffset>
                </wp:positionV>
                <wp:extent cx="5266055" cy="175260"/>
                <wp:effectExtent l="0" t="0" r="0" b="0"/>
                <wp:wrapNone/>
                <wp:docPr id="120" name="Frame124"/>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Except as amended hereby, the Registration Rights Agreement shall continue in full</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Except as amended hereby, the Registration Rights Agreement shall continue in full</w:t>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1252855</wp:posOffset>
                </wp:positionH>
                <wp:positionV relativeFrom="line">
                  <wp:posOffset>635</wp:posOffset>
                </wp:positionV>
                <wp:extent cx="114300" cy="175260"/>
                <wp:effectExtent l="0" t="0" r="0" b="0"/>
                <wp:wrapNone/>
                <wp:docPr id="121" name="Frame123"/>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4.</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4.</w:t>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1710055</wp:posOffset>
                </wp:positionH>
                <wp:positionV relativeFrom="line">
                  <wp:posOffset>635</wp:posOffset>
                </wp:positionV>
                <wp:extent cx="2626360" cy="350520"/>
                <wp:effectExtent l="0" t="0" r="0" b="0"/>
                <wp:wrapNone/>
                <wp:docPr id="122" name="Frame122"/>
                <a:graphic xmlns:a="http://schemas.openxmlformats.org/drawingml/2006/main">
                  <a:graphicData uri="http://schemas.microsoft.com/office/word/2010/wordprocessingShape">
                    <wps:wsp>
                      <wps:cNvSpPr txBox="1"/>
                      <wps:spPr>
                        <a:xfrm>
                          <a:off x="0" y="0"/>
                          <a:ext cx="262636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make, deliver and perform this Agreement.</w:t>
                            </w:r>
                          </w:p>
                        </w:txbxContent>
                      </wps:txbx>
                      <wps:bodyPr anchor="t" lIns="0" tIns="0" rIns="0" bIns="0">
                        <a:noAutofit/>
                      </wps:bodyPr>
                    </wps:wsp>
                  </a:graphicData>
                </a:graphic>
              </wp:anchor>
            </w:drawing>
          </mc:Choice>
          <mc:Fallback>
            <w:pict>
              <v:rect style="position:absolute;rotation:-0;width:206.8pt;height:27.6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make, deliver and perform this Agreement.</w:t>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6976110</wp:posOffset>
                </wp:positionH>
                <wp:positionV relativeFrom="line">
                  <wp:posOffset>635</wp:posOffset>
                </wp:positionV>
                <wp:extent cx="38100" cy="175260"/>
                <wp:effectExtent l="0" t="0" r="0" b="0"/>
                <wp:wrapNone/>
                <wp:docPr id="123" name="Frame12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2">
                <wp:simplePos x="0" y="0"/>
                <wp:positionH relativeFrom="page">
                  <wp:posOffset>6976745</wp:posOffset>
                </wp:positionH>
                <wp:positionV relativeFrom="line">
                  <wp:posOffset>635</wp:posOffset>
                </wp:positionV>
                <wp:extent cx="38100" cy="175260"/>
                <wp:effectExtent l="0" t="0" r="0" b="0"/>
                <wp:wrapNone/>
                <wp:docPr id="124" name="Frame14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1">
                <wp:simplePos x="0" y="0"/>
                <wp:positionH relativeFrom="page">
                  <wp:posOffset>1710055</wp:posOffset>
                </wp:positionH>
                <wp:positionV relativeFrom="line">
                  <wp:posOffset>635</wp:posOffset>
                </wp:positionV>
                <wp:extent cx="1555750" cy="350520"/>
                <wp:effectExtent l="0" t="0" r="0" b="0"/>
                <wp:wrapNone/>
                <wp:docPr id="125" name="Frame158"/>
                <a:graphic xmlns:a="http://schemas.openxmlformats.org/drawingml/2006/main">
                  <a:graphicData uri="http://schemas.microsoft.com/office/word/2010/wordprocessingShape">
                    <wps:wsp>
                      <wps:cNvSpPr txBox="1"/>
                      <wps:spPr>
                        <a:xfrm>
                          <a:off x="0" y="0"/>
                          <a:ext cx="155575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effective for all purposes.</w:t>
                            </w:r>
                          </w:p>
                        </w:txbxContent>
                      </wps:txbx>
                      <wps:bodyPr anchor="t" lIns="0" tIns="0" rIns="0" bIns="0">
                        <a:noAutofit/>
                      </wps:bodyPr>
                    </wps:wsp>
                  </a:graphicData>
                </a:graphic>
              </wp:anchor>
            </w:drawing>
          </mc:Choice>
          <mc:Fallback>
            <w:pict>
              <v:rect style="position:absolute;rotation:-0;width:122.5pt;height:27.6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effective for all purposes.</w:t>
                      </w:r>
                    </w:p>
                  </w:txbxContent>
                </v:textbox>
                <w10:wrap type="none"/>
              </v:rect>
            </w:pict>
          </mc:Fallback>
        </mc:AlternateContent>
      </w:r>
      <w:r>
        <mc:AlternateContent>
          <mc:Choice Requires="wps">
            <w:drawing>
              <wp:anchor behindDoc="0" distT="0" distB="0" distL="0" distR="0" simplePos="0" locked="0" layoutInCell="1" allowOverlap="1" relativeHeight="220">
                <wp:simplePos x="0" y="0"/>
                <wp:positionH relativeFrom="page">
                  <wp:posOffset>6976110</wp:posOffset>
                </wp:positionH>
                <wp:positionV relativeFrom="line">
                  <wp:posOffset>635</wp:posOffset>
                </wp:positionV>
                <wp:extent cx="38100" cy="175260"/>
                <wp:effectExtent l="0" t="0" r="0" b="0"/>
                <wp:wrapNone/>
                <wp:docPr id="126" name="Frame15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9">
                <wp:simplePos x="0" y="0"/>
                <wp:positionH relativeFrom="page">
                  <wp:posOffset>1710055</wp:posOffset>
                </wp:positionH>
                <wp:positionV relativeFrom="line">
                  <wp:posOffset>635</wp:posOffset>
                </wp:positionV>
                <wp:extent cx="5266055" cy="175260"/>
                <wp:effectExtent l="0" t="0" r="0" b="0"/>
                <wp:wrapNone/>
                <wp:docPr id="127" name="Frame156"/>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delivered shall be deemed to have been duly and validly delivered and be valid and</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delivered shall be deemed to have been duly and validly delivered and be valid and</w:t>
                      </w:r>
                    </w:p>
                  </w:txbxContent>
                </v:textbox>
                <w10:wrap type="none"/>
              </v:rect>
            </w:pict>
          </mc:Fallback>
        </mc:AlternateContent>
      </w:r>
      <w:r>
        <mc:AlternateContent>
          <mc:Choice Requires="wps">
            <w:drawing>
              <wp:anchor behindDoc="0" distT="0" distB="0" distL="0" distR="0" simplePos="0" locked="0" layoutInCell="1" allowOverlap="1" relativeHeight="218">
                <wp:simplePos x="0" y="0"/>
                <wp:positionH relativeFrom="page">
                  <wp:posOffset>6976110</wp:posOffset>
                </wp:positionH>
                <wp:positionV relativeFrom="line">
                  <wp:posOffset>635</wp:posOffset>
                </wp:positionV>
                <wp:extent cx="38100" cy="175260"/>
                <wp:effectExtent l="0" t="0" r="0" b="0"/>
                <wp:wrapNone/>
                <wp:docPr id="128" name="Frame15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7">
                <wp:simplePos x="0" y="0"/>
                <wp:positionH relativeFrom="page">
                  <wp:posOffset>1710055</wp:posOffset>
                </wp:positionH>
                <wp:positionV relativeFrom="line">
                  <wp:posOffset>635</wp:posOffset>
                </wp:positionV>
                <wp:extent cx="5266055" cy="175260"/>
                <wp:effectExtent l="0" t="0" r="0" b="0"/>
                <wp:wrapNone/>
                <wp:docPr id="129" name="Frame154"/>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e.g., www.docusign.com) or other transmission method and any counterpart so</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e.g., www.docusign.com) or other transmission method and any counterpart so</w:t>
                      </w:r>
                    </w:p>
                  </w:txbxContent>
                </v:textbox>
                <w10:wrap type="none"/>
              </v:rect>
            </w:pict>
          </mc:Fallback>
        </mc:AlternateContent>
      </w:r>
      <w:r>
        <mc:AlternateContent>
          <mc:Choice Requires="wps">
            <w:drawing>
              <wp:anchor behindDoc="0" distT="0" distB="0" distL="0" distR="0" simplePos="0" locked="0" layoutInCell="1" allowOverlap="1" relativeHeight="216">
                <wp:simplePos x="0" y="0"/>
                <wp:positionH relativeFrom="page">
                  <wp:posOffset>6975475</wp:posOffset>
                </wp:positionH>
                <wp:positionV relativeFrom="line">
                  <wp:posOffset>635</wp:posOffset>
                </wp:positionV>
                <wp:extent cx="38100" cy="175260"/>
                <wp:effectExtent l="0" t="0" r="0" b="0"/>
                <wp:wrapNone/>
                <wp:docPr id="130" name="Frame15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5">
                <wp:simplePos x="0" y="0"/>
                <wp:positionH relativeFrom="page">
                  <wp:posOffset>1710055</wp:posOffset>
                </wp:positionH>
                <wp:positionV relativeFrom="line">
                  <wp:posOffset>635</wp:posOffset>
                </wp:positionV>
                <wp:extent cx="5265420" cy="175260"/>
                <wp:effectExtent l="0" t="0" r="0" b="0"/>
                <wp:wrapNone/>
                <wp:docPr id="131" name="Frame152"/>
                <a:graphic xmlns:a="http://schemas.openxmlformats.org/drawingml/2006/main">
                  <a:graphicData uri="http://schemas.microsoft.com/office/word/2010/wordprocessingShape">
                    <wps:wsp>
                      <wps:cNvSpPr txBox="1"/>
                      <wps:spPr>
                        <a:xfrm>
                          <a:off x="0" y="0"/>
                          <a:ext cx="52654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pdf or any electronic signature complying with the U.S. federal ESIGN Act of 2000,</w:t>
                            </w:r>
                          </w:p>
                        </w:txbxContent>
                      </wps:txbx>
                      <wps:bodyPr anchor="t" lIns="0" tIns="0" rIns="0" bIns="0">
                        <a:noAutofit/>
                      </wps:bodyPr>
                    </wps:wsp>
                  </a:graphicData>
                </a:graphic>
              </wp:anchor>
            </w:drawing>
          </mc:Choice>
          <mc:Fallback>
            <w:pict>
              <v:rect style="position:absolute;rotation:-0;width:414.6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pdf or any electronic signature complying with the U.S. federal ESIGN Act of 2000,</w:t>
                      </w:r>
                    </w:p>
                  </w:txbxContent>
                </v:textbox>
                <w10:wrap type="none"/>
              </v:rect>
            </w:pict>
          </mc:Fallback>
        </mc:AlternateContent>
      </w:r>
      <w:r>
        <mc:AlternateContent>
          <mc:Choice Requires="wps">
            <w:drawing>
              <wp:anchor behindDoc="0" distT="0" distB="0" distL="0" distR="0" simplePos="0" locked="0" layoutInCell="1" allowOverlap="1" relativeHeight="214">
                <wp:simplePos x="0" y="0"/>
                <wp:positionH relativeFrom="page">
                  <wp:posOffset>6976110</wp:posOffset>
                </wp:positionH>
                <wp:positionV relativeFrom="line">
                  <wp:posOffset>635</wp:posOffset>
                </wp:positionV>
                <wp:extent cx="38100" cy="175260"/>
                <wp:effectExtent l="0" t="0" r="0" b="0"/>
                <wp:wrapNone/>
                <wp:docPr id="132" name="Frame15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3">
                <wp:simplePos x="0" y="0"/>
                <wp:positionH relativeFrom="page">
                  <wp:posOffset>1710055</wp:posOffset>
                </wp:positionH>
                <wp:positionV relativeFrom="line">
                  <wp:posOffset>635</wp:posOffset>
                </wp:positionV>
                <wp:extent cx="5266055" cy="175260"/>
                <wp:effectExtent l="0" t="0" r="0" b="0"/>
                <wp:wrapNone/>
                <wp:docPr id="133" name="Frame150"/>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agreement. Counterparts may be delivered via facsimile, electronic mail (including</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agreement. Counterparts may be delivered via facsimile, electronic mail (including</w:t>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1710055</wp:posOffset>
                </wp:positionH>
                <wp:positionV relativeFrom="line">
                  <wp:posOffset>635</wp:posOffset>
                </wp:positionV>
                <wp:extent cx="5266055" cy="175260"/>
                <wp:effectExtent l="0" t="0" r="0" b="0"/>
                <wp:wrapNone/>
                <wp:docPr id="134" name="Frame120"/>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WCF hereby represents and warrants that it has the requisite power and authority to</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WCF hereby represents and warrants that it has the requisite power and authority to</w:t>
                      </w:r>
                    </w:p>
                  </w:txbxContent>
                </v:textbox>
                <w10:wrap type="none"/>
              </v:rect>
            </w:pict>
          </mc:Fallback>
        </mc:AlternateContent>
      </w:r>
      <w:r>
        <mc:AlternateContent>
          <mc:Choice Requires="wps">
            <w:drawing>
              <wp:anchor behindDoc="0" distT="0" distB="0" distL="0" distR="0" simplePos="0" locked="0" layoutInCell="1" allowOverlap="1" relativeHeight="211">
                <wp:simplePos x="0" y="0"/>
                <wp:positionH relativeFrom="page">
                  <wp:posOffset>1710055</wp:posOffset>
                </wp:positionH>
                <wp:positionV relativeFrom="line">
                  <wp:posOffset>635</wp:posOffset>
                </wp:positionV>
                <wp:extent cx="5266690" cy="175260"/>
                <wp:effectExtent l="0" t="0" r="0" b="0"/>
                <wp:wrapNone/>
                <wp:docPr id="135" name="Frame148"/>
                <a:graphic xmlns:a="http://schemas.openxmlformats.org/drawingml/2006/main">
                  <a:graphicData uri="http://schemas.microsoft.com/office/word/2010/wordprocessingShape">
                    <wps:wsp>
                      <wps:cNvSpPr txBox="1"/>
                      <wps:spPr>
                        <a:xfrm>
                          <a:off x="0" y="0"/>
                          <a:ext cx="52666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be deemed an original, but all of which together shall constitute one and the same</w:t>
                            </w:r>
                          </w:p>
                        </w:txbxContent>
                      </wps:txbx>
                      <wps:bodyPr anchor="t" lIns="0" tIns="0" rIns="0" bIns="0">
                        <a:noAutofit/>
                      </wps:bodyPr>
                    </wps:wsp>
                  </a:graphicData>
                </a:graphic>
              </wp:anchor>
            </w:drawing>
          </mc:Choice>
          <mc:Fallback>
            <w:pict>
              <v:rect style="position:absolute;rotation:-0;width:414.7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be deemed an original, but all of which together shall constitute one and the same</w:t>
                      </w:r>
                    </w:p>
                  </w:txbxContent>
                </v:textbox>
                <w10:wrap type="none"/>
              </v:rect>
            </w:pict>
          </mc:Fallback>
        </mc:AlternateContent>
      </w:r>
      <w:r>
        <mc:AlternateContent>
          <mc:Choice Requires="wps">
            <w:drawing>
              <wp:anchor behindDoc="0" distT="0" distB="0" distL="0" distR="0" simplePos="0" locked="0" layoutInCell="1" allowOverlap="1" relativeHeight="210">
                <wp:simplePos x="0" y="0"/>
                <wp:positionH relativeFrom="page">
                  <wp:posOffset>6976110</wp:posOffset>
                </wp:positionH>
                <wp:positionV relativeFrom="line">
                  <wp:posOffset>635</wp:posOffset>
                </wp:positionV>
                <wp:extent cx="38100" cy="175260"/>
                <wp:effectExtent l="0" t="0" r="0" b="0"/>
                <wp:wrapNone/>
                <wp:docPr id="136" name="Frame14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9">
                <wp:simplePos x="0" y="0"/>
                <wp:positionH relativeFrom="page">
                  <wp:posOffset>1710055</wp:posOffset>
                </wp:positionH>
                <wp:positionV relativeFrom="line">
                  <wp:posOffset>635</wp:posOffset>
                </wp:positionV>
                <wp:extent cx="5266055" cy="175260"/>
                <wp:effectExtent l="0" t="0" r="0" b="0"/>
                <wp:wrapNone/>
                <wp:docPr id="137" name="Frame146"/>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Amendment may be executed in two or more counterparts, each of which shall</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This Amendment may be executed in two or more counterparts, each of which shall</w:t>
                      </w:r>
                    </w:p>
                  </w:txbxContent>
                </v:textbox>
                <w10:wrap type="none"/>
              </v:rect>
            </w:pict>
          </mc:Fallback>
        </mc:AlternateContent>
      </w:r>
      <w:r>
        <mc:AlternateContent>
          <mc:Choice Requires="wps">
            <w:drawing>
              <wp:anchor behindDoc="0" distT="0" distB="0" distL="0" distR="0" simplePos="0" locked="0" layoutInCell="1" allowOverlap="1" relativeHeight="208">
                <wp:simplePos x="0" y="0"/>
                <wp:positionH relativeFrom="page">
                  <wp:posOffset>1252855</wp:posOffset>
                </wp:positionH>
                <wp:positionV relativeFrom="line">
                  <wp:posOffset>635</wp:posOffset>
                </wp:positionV>
                <wp:extent cx="114300" cy="175260"/>
                <wp:effectExtent l="0" t="0" r="0" b="0"/>
                <wp:wrapNone/>
                <wp:docPr id="138" name="Frame145"/>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7.</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7.</w:t>
                      </w:r>
                    </w:p>
                  </w:txbxContent>
                </v:textbox>
                <w10:wrap type="none"/>
              </v:rect>
            </w:pict>
          </mc:Fallback>
        </mc:AlternateContent>
      </w:r>
      <w:r>
        <mc:AlternateContent>
          <mc:Choice Requires="wps">
            <w:drawing>
              <wp:anchor behindDoc="0" distT="0" distB="0" distL="0" distR="0" simplePos="0" locked="0" layoutInCell="1" allowOverlap="1" relativeHeight="207">
                <wp:simplePos x="0" y="0"/>
                <wp:positionH relativeFrom="page">
                  <wp:posOffset>1710055</wp:posOffset>
                </wp:positionH>
                <wp:positionV relativeFrom="line">
                  <wp:posOffset>635</wp:posOffset>
                </wp:positionV>
                <wp:extent cx="3801110" cy="350520"/>
                <wp:effectExtent l="0" t="0" r="0" b="0"/>
                <wp:wrapNone/>
                <wp:docPr id="139" name="Frame144"/>
                <a:graphic xmlns:a="http://schemas.openxmlformats.org/drawingml/2006/main">
                  <a:graphicData uri="http://schemas.microsoft.com/office/word/2010/wordprocessingShape">
                    <wps:wsp>
                      <wps:cNvSpPr txBox="1"/>
                      <wps:spPr>
                        <a:xfrm>
                          <a:off x="0" y="0"/>
                          <a:ext cx="380111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among the Parties or their representatives with respect thereto.</w:t>
                            </w:r>
                          </w:p>
                        </w:txbxContent>
                      </wps:txbx>
                      <wps:bodyPr anchor="t" lIns="0" tIns="0" rIns="0" bIns="0">
                        <a:noAutofit/>
                      </wps:bodyPr>
                    </wps:wsp>
                  </a:graphicData>
                </a:graphic>
              </wp:anchor>
            </w:drawing>
          </mc:Choice>
          <mc:Fallback>
            <w:pict>
              <v:rect style="position:absolute;rotation:-0;width:299.3pt;height:27.6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among the Parties or their representatives with respect thereto.</w:t>
                      </w:r>
                    </w:p>
                  </w:txbxContent>
                </v:textbox>
                <w10:wrap type="none"/>
              </v:rect>
            </w:pict>
          </mc:Fallback>
        </mc:AlternateContent>
      </w:r>
      <w:r>
        <mc:AlternateContent>
          <mc:Choice Requires="wps">
            <w:drawing>
              <wp:anchor behindDoc="0" distT="0" distB="0" distL="0" distR="0" simplePos="0" locked="0" layoutInCell="1" allowOverlap="1" relativeHeight="206">
                <wp:simplePos x="0" y="0"/>
                <wp:positionH relativeFrom="page">
                  <wp:posOffset>6976110</wp:posOffset>
                </wp:positionH>
                <wp:positionV relativeFrom="line">
                  <wp:posOffset>635</wp:posOffset>
                </wp:positionV>
                <wp:extent cx="38100" cy="175260"/>
                <wp:effectExtent l="0" t="0" r="0" b="0"/>
                <wp:wrapNone/>
                <wp:docPr id="140" name="Frame14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5">
                <wp:simplePos x="0" y="0"/>
                <wp:positionH relativeFrom="page">
                  <wp:posOffset>1710055</wp:posOffset>
                </wp:positionH>
                <wp:positionV relativeFrom="line">
                  <wp:posOffset>635</wp:posOffset>
                </wp:positionV>
                <wp:extent cx="5266055" cy="175260"/>
                <wp:effectExtent l="0" t="0" r="0" b="0"/>
                <wp:wrapNone/>
                <wp:docPr id="141" name="Frame142"/>
                <a:graphic xmlns:a="http://schemas.openxmlformats.org/drawingml/2006/main">
                  <a:graphicData uri="http://schemas.microsoft.com/office/word/2010/wordprocessingShape">
                    <wps:wsp>
                      <wps:cNvSpPr txBox="1"/>
                      <wps:spPr>
                        <a:xfrm>
                          <a:off x="0" y="0"/>
                          <a:ext cx="526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contemporaneous agreements and understandings, whether written and oral, by and</w:t>
                            </w:r>
                          </w:p>
                        </w:txbxContent>
                      </wps:txbx>
                      <wps:bodyPr anchor="t" lIns="0" tIns="0" rIns="0" bIns="0">
                        <a:noAutofit/>
                      </wps:bodyPr>
                    </wps:wsp>
                  </a:graphicData>
                </a:graphic>
              </wp:anchor>
            </w:drawing>
          </mc:Choice>
          <mc:Fallback>
            <w:pict>
              <v:rect style="position:absolute;rotation:-0;width:414.65pt;height:13.8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contemporaneous agreements and understandings, whether written and oral, by and</w:t>
                      </w:r>
                    </w:p>
                  </w:txbxContent>
                </v:textbox>
                <w10:wrap type="none"/>
              </v:rect>
            </w:pict>
          </mc:Fallback>
        </mc:AlternateContent>
      </w:r>
      <w:r>
        <mc:AlternateContent>
          <mc:Choice Requires="wps">
            <w:drawing>
              <wp:anchor behindDoc="0" distT="0" distB="0" distL="0" distR="0" simplePos="0" locked="0" layoutInCell="1" allowOverlap="1" relativeHeight="204">
                <wp:simplePos x="0" y="0"/>
                <wp:positionH relativeFrom="page">
                  <wp:posOffset>6976110</wp:posOffset>
                </wp:positionH>
                <wp:positionV relativeFrom="line">
                  <wp:posOffset>635</wp:posOffset>
                </wp:positionV>
                <wp:extent cx="38100" cy="175260"/>
                <wp:effectExtent l="0" t="0" r="0" b="0"/>
                <wp:wrapNone/>
                <wp:docPr id="142" name="Frame14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1252855</wp:posOffset>
                </wp:positionH>
                <wp:positionV relativeFrom="line">
                  <wp:posOffset>635</wp:posOffset>
                </wp:positionV>
                <wp:extent cx="5723255" cy="175260"/>
                <wp:effectExtent l="0" t="0" r="0" b="0"/>
                <wp:wrapNone/>
                <wp:docPr id="143" name="Frame91"/>
                <a:graphic xmlns:a="http://schemas.openxmlformats.org/drawingml/2006/main">
                  <a:graphicData uri="http://schemas.microsoft.com/office/word/2010/wordprocessingShape">
                    <wps:wsp>
                      <wps:cNvSpPr txBox="1"/>
                      <wps:spPr>
                        <a:xfrm>
                          <a:off x="0" y="0"/>
                          <a:ext cx="57232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Securities then outstanding that PubCo file a Form S-3 registration statement with respect to</w:t>
                            </w:r>
                          </w:p>
                        </w:txbxContent>
                      </wps:txbx>
                      <wps:bodyPr anchor="t" lIns="0" tIns="0" rIns="0" bIns="0">
                        <a:noAutofit/>
                      </wps:bodyPr>
                    </wps:wsp>
                  </a:graphicData>
                </a:graphic>
              </wp:anchor>
            </w:drawing>
          </mc:Choice>
          <mc:Fallback>
            <w:pict>
              <v:rect style="position:absolute;rotation:-0;width:450.65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Securities then outstanding that PubCo file a Form S-3 registration statement with respect to</w:t>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6976110</wp:posOffset>
                </wp:positionH>
                <wp:positionV relativeFrom="line">
                  <wp:posOffset>635</wp:posOffset>
                </wp:positionV>
                <wp:extent cx="38100" cy="175260"/>
                <wp:effectExtent l="0" t="0" r="0" b="0"/>
                <wp:wrapNone/>
                <wp:docPr id="144" name="Frame10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1252855</wp:posOffset>
                </wp:positionH>
                <wp:positionV relativeFrom="line">
                  <wp:posOffset>635</wp:posOffset>
                </wp:positionV>
                <wp:extent cx="5723255" cy="175260"/>
                <wp:effectExtent l="0" t="0" r="0" b="0"/>
                <wp:wrapNone/>
                <wp:docPr id="145" name="Frame99"/>
                <a:graphic xmlns:a="http://schemas.openxmlformats.org/drawingml/2006/main">
                  <a:graphicData uri="http://schemas.microsoft.com/office/word/2010/wordprocessingShape">
                    <wps:wsp>
                      <wps:cNvSpPr txBox="1"/>
                      <wps:spPr>
                        <a:xfrm>
                          <a:off x="0" y="0"/>
                          <a:ext cx="57232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Notice to all Holders other than the Initiating Holders; and (ii) as soon as practicable, and in</w:t>
                            </w:r>
                          </w:p>
                        </w:txbxContent>
                      </wps:txbx>
                      <wps:bodyPr anchor="t" lIns="0" tIns="0" rIns="0" bIns="0">
                        <a:noAutofit/>
                      </wps:bodyPr>
                    </wps:wsp>
                  </a:graphicData>
                </a:graphic>
              </wp:anchor>
            </w:drawing>
          </mc:Choice>
          <mc:Fallback>
            <w:pict>
              <v:rect style="position:absolute;rotation:-0;width:450.65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Notice to all Holders other than the Initiating Holders; and (ii) as soon as practicable, and in</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6976110</wp:posOffset>
                </wp:positionH>
                <wp:positionV relativeFrom="line">
                  <wp:posOffset>635</wp:posOffset>
                </wp:positionV>
                <wp:extent cx="38100" cy="175260"/>
                <wp:effectExtent l="0" t="0" r="0" b="0"/>
                <wp:wrapNone/>
                <wp:docPr id="146" name="Frame9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1252855</wp:posOffset>
                </wp:positionH>
                <wp:positionV relativeFrom="line">
                  <wp:posOffset>635</wp:posOffset>
                </wp:positionV>
                <wp:extent cx="5723255" cy="175260"/>
                <wp:effectExtent l="0" t="0" r="0" b="0"/>
                <wp:wrapNone/>
                <wp:docPr id="147" name="Frame97"/>
                <a:graphic xmlns:a="http://schemas.openxmlformats.org/drawingml/2006/main">
                  <a:graphicData uri="http://schemas.microsoft.com/office/word/2010/wordprocessingShape">
                    <wps:wsp>
                      <wps:cNvSpPr txBox="1"/>
                      <wps:spPr>
                        <a:xfrm>
                          <a:off x="0" y="0"/>
                          <a:ext cx="57232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PubCo shall (i) within ten (10) days after the date such request is given, give a Demand</w:t>
                            </w:r>
                          </w:p>
                        </w:txbxContent>
                      </wps:txbx>
                      <wps:bodyPr anchor="t" lIns="0" tIns="0" rIns="0" bIns="0">
                        <a:noAutofit/>
                      </wps:bodyPr>
                    </wps:wsp>
                  </a:graphicData>
                </a:graphic>
              </wp:anchor>
            </w:drawing>
          </mc:Choice>
          <mc:Fallback>
            <w:pict>
              <v:rect style="position:absolute;rotation:-0;width:450.65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PubCo shall (i) within ten (10) days after the date such request is given, give a Demand</w:t>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6976110</wp:posOffset>
                </wp:positionH>
                <wp:positionV relativeFrom="line">
                  <wp:posOffset>635</wp:posOffset>
                </wp:positionV>
                <wp:extent cx="38100" cy="175260"/>
                <wp:effectExtent l="0" t="0" r="0" b="0"/>
                <wp:wrapNone/>
                <wp:docPr id="148" name="Frame9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1252855</wp:posOffset>
                </wp:positionH>
                <wp:positionV relativeFrom="line">
                  <wp:posOffset>635</wp:posOffset>
                </wp:positionV>
                <wp:extent cx="5723255" cy="175260"/>
                <wp:effectExtent l="0" t="0" r="0" b="0"/>
                <wp:wrapNone/>
                <wp:docPr id="149" name="Frame95"/>
                <a:graphic xmlns:a="http://schemas.openxmlformats.org/drawingml/2006/main">
                  <a:graphicData uri="http://schemas.microsoft.com/office/word/2010/wordprocessingShape">
                    <wps:wsp>
                      <wps:cNvSpPr txBox="1"/>
                      <wps:spPr>
                        <a:xfrm>
                          <a:off x="0" y="0"/>
                          <a:ext cx="57232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proceeds, net of Selling Expenses, of at least fifty million US dollars ($50,000,000), then</w:t>
                            </w:r>
                          </w:p>
                        </w:txbxContent>
                      </wps:txbx>
                      <wps:bodyPr anchor="t" lIns="0" tIns="0" rIns="0" bIns="0">
                        <a:noAutofit/>
                      </wps:bodyPr>
                    </wps:wsp>
                  </a:graphicData>
                </a:graphic>
              </wp:anchor>
            </w:drawing>
          </mc:Choice>
          <mc:Fallback>
            <w:pict>
              <v:rect style="position:absolute;rotation:-0;width:450.65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proceeds, net of Selling Expenses, of at least fifty million US dollars ($50,000,000), then</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6976110</wp:posOffset>
                </wp:positionH>
                <wp:positionV relativeFrom="line">
                  <wp:posOffset>635</wp:posOffset>
                </wp:positionV>
                <wp:extent cx="38100" cy="175260"/>
                <wp:effectExtent l="0" t="0" r="0" b="0"/>
                <wp:wrapNone/>
                <wp:docPr id="150" name="Frame9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1252855</wp:posOffset>
                </wp:positionH>
                <wp:positionV relativeFrom="line">
                  <wp:posOffset>635</wp:posOffset>
                </wp:positionV>
                <wp:extent cx="5723255" cy="175260"/>
                <wp:effectExtent l="0" t="0" r="0" b="0"/>
                <wp:wrapNone/>
                <wp:docPr id="151" name="Frame93"/>
                <a:graphic xmlns:a="http://schemas.openxmlformats.org/drawingml/2006/main">
                  <a:graphicData uri="http://schemas.microsoft.com/office/word/2010/wordprocessingShape">
                    <wps:wsp>
                      <wps:cNvSpPr txBox="1"/>
                      <wps:spPr>
                        <a:xfrm>
                          <a:off x="0" y="0"/>
                          <a:ext cx="57232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outstanding Registrable Securities of such Holders having an anticipated aggregate offering</w:t>
                            </w:r>
                          </w:p>
                        </w:txbxContent>
                      </wps:txbx>
                      <wps:bodyPr anchor="t" lIns="0" tIns="0" rIns="0" bIns="0">
                        <a:noAutofit/>
                      </wps:bodyPr>
                    </wps:wsp>
                  </a:graphicData>
                </a:graphic>
              </wp:anchor>
            </w:drawing>
          </mc:Choice>
          <mc:Fallback>
            <w:pict>
              <v:rect style="position:absolute;rotation:-0;width:450.65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outstanding Registrable Securities of such Holders having an anticipated aggregate offering</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6976110</wp:posOffset>
                </wp:positionH>
                <wp:positionV relativeFrom="line">
                  <wp:posOffset>635</wp:posOffset>
                </wp:positionV>
                <wp:extent cx="38100" cy="175260"/>
                <wp:effectExtent l="0" t="0" r="0" b="0"/>
                <wp:wrapNone/>
                <wp:docPr id="152" name="Frame9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1252855</wp:posOffset>
                </wp:positionH>
                <wp:positionV relativeFrom="line">
                  <wp:posOffset>635</wp:posOffset>
                </wp:positionV>
                <wp:extent cx="5722620" cy="175260"/>
                <wp:effectExtent l="0" t="0" r="0" b="0"/>
                <wp:wrapNone/>
                <wp:docPr id="153" name="Frame101"/>
                <a:graphic xmlns:a="http://schemas.openxmlformats.org/drawingml/2006/main">
                  <a:graphicData uri="http://schemas.microsoft.com/office/word/2010/wordprocessingShape">
                    <wps:wsp>
                      <wps:cNvSpPr txBox="1"/>
                      <wps:spPr>
                        <a:xfrm>
                          <a:off x="0" y="0"/>
                          <a:ext cx="57226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any event within forty-five (45) days after the date such request is given by the Initiating</w:t>
                            </w:r>
                          </w:p>
                        </w:txbxContent>
                      </wps:txbx>
                      <wps:bodyPr anchor="t" lIns="0" tIns="0" rIns="0" bIns="0">
                        <a:noAutofit/>
                      </wps:bodyPr>
                    </wps:wsp>
                  </a:graphicData>
                </a:graphic>
              </wp:anchor>
            </w:drawing>
          </mc:Choice>
          <mc:Fallback>
            <w:pict>
              <v:rect style="position:absolute;rotation:-0;width:450.6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any event within forty-five (45) days after the date such request is given by the Initiating</w:t>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6976745</wp:posOffset>
                </wp:positionH>
                <wp:positionV relativeFrom="line">
                  <wp:posOffset>635</wp:posOffset>
                </wp:positionV>
                <wp:extent cx="38100" cy="175260"/>
                <wp:effectExtent l="0" t="0" r="0" b="0"/>
                <wp:wrapNone/>
                <wp:docPr id="154" name="Frame9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1252855</wp:posOffset>
                </wp:positionH>
                <wp:positionV relativeFrom="line">
                  <wp:posOffset>635</wp:posOffset>
                </wp:positionV>
                <wp:extent cx="5723890" cy="175260"/>
                <wp:effectExtent l="0" t="0" r="0" b="0"/>
                <wp:wrapNone/>
                <wp:docPr id="155" name="Frame89"/>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PubCo receives a request from Holders of at least ten percent (10%) of the Registrable</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PubCo receives a request from Holders of at least ten percent (10%) of the Registrable</w:t>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6976745</wp:posOffset>
                </wp:positionH>
                <wp:positionV relativeFrom="line">
                  <wp:posOffset>635</wp:posOffset>
                </wp:positionV>
                <wp:extent cx="38100" cy="175260"/>
                <wp:effectExtent l="0" t="0" r="0" b="0"/>
                <wp:wrapNone/>
                <wp:docPr id="156" name="Frame8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2393950</wp:posOffset>
                </wp:positionH>
                <wp:positionV relativeFrom="line">
                  <wp:posOffset>635</wp:posOffset>
                </wp:positionV>
                <wp:extent cx="4582795" cy="175260"/>
                <wp:effectExtent l="0" t="0" r="0" b="0"/>
                <wp:wrapNone/>
                <wp:docPr id="157" name="Frame87"/>
                <a:graphic xmlns:a="http://schemas.openxmlformats.org/drawingml/2006/main">
                  <a:graphicData uri="http://schemas.microsoft.com/office/word/2010/wordprocessingShape">
                    <wps:wsp>
                      <wps:cNvSpPr txBox="1"/>
                      <wps:spPr>
                        <a:xfrm>
                          <a:off x="0" y="0"/>
                          <a:ext cx="458279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If at any time when it is eligible to use a Form S-3 registration statement,</w:t>
                            </w:r>
                          </w:p>
                        </w:txbxContent>
                      </wps:txbx>
                      <wps:bodyPr anchor="t" lIns="0" tIns="0" rIns="0" bIns="0">
                        <a:noAutofit/>
                      </wps:bodyPr>
                    </wps:wsp>
                  </a:graphicData>
                </a:graphic>
              </wp:anchor>
            </w:drawing>
          </mc:Choice>
          <mc:Fallback>
            <w:pict>
              <v:rect style="position:absolute;rotation:-0;width:360.85pt;height:13.8pt;mso-wrap-distance-left:0pt;mso-wrap-distance-right:0pt;mso-wrap-distance-top:0pt;mso-wrap-distance-bottom:0pt;margin-top:0pt;mso-position-vertical:top;mso-position-vertical-relative:text;margin-left:188.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If at any time when it is eligible to use a Form S-3 registration statement,</w:t>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1252855</wp:posOffset>
                </wp:positionH>
                <wp:positionV relativeFrom="line">
                  <wp:posOffset>635</wp:posOffset>
                </wp:positionV>
                <wp:extent cx="1141095" cy="175260"/>
                <wp:effectExtent l="0" t="0" r="0" b="0"/>
                <wp:wrapNone/>
                <wp:docPr id="158" name="Frame86"/>
                <a:graphic xmlns:a="http://schemas.openxmlformats.org/drawingml/2006/main">
                  <a:graphicData uri="http://schemas.microsoft.com/office/word/2010/wordprocessingShape">
                    <wps:wsp>
                      <wps:cNvSpPr txBox="1"/>
                      <wps:spPr>
                        <a:xfrm>
                          <a:off x="0" y="0"/>
                          <a:ext cx="114109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Form S-3 Demand</w:t>
                            </w:r>
                          </w:p>
                        </w:txbxContent>
                      </wps:txbx>
                      <wps:bodyPr anchor="t" lIns="0" tIns="0" rIns="0" bIns="0">
                        <a:noAutofit/>
                      </wps:bodyPr>
                    </wps:wsp>
                  </a:graphicData>
                </a:graphic>
              </wp:anchor>
            </w:drawing>
          </mc:Choice>
          <mc:Fallback>
            <w:pict>
              <v:rect style="position:absolute;rotation:-0;width:89.85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Form S-3 Demand</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1710055</wp:posOffset>
                </wp:positionH>
                <wp:positionV relativeFrom="line">
                  <wp:posOffset>635</wp:posOffset>
                </wp:positionV>
                <wp:extent cx="1505585" cy="350520"/>
                <wp:effectExtent l="0" t="0" r="0" b="0"/>
                <wp:wrapNone/>
                <wp:docPr id="159" name="Frame85"/>
                <a:graphic xmlns:a="http://schemas.openxmlformats.org/drawingml/2006/main">
                  <a:graphicData uri="http://schemas.microsoft.com/office/word/2010/wordprocessingShape">
                    <wps:wsp>
                      <wps:cNvSpPr txBox="1"/>
                      <wps:spPr>
                        <a:xfrm>
                          <a:off x="0" y="0"/>
                          <a:ext cx="150558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in its entirety as follows:</w:t>
                            </w:r>
                          </w:p>
                        </w:txbxContent>
                      </wps:txbx>
                      <wps:bodyPr anchor="t" lIns="0" tIns="0" rIns="0" bIns="0">
                        <a:noAutofit/>
                      </wps:bodyPr>
                    </wps:wsp>
                  </a:graphicData>
                </a:graphic>
              </wp:anchor>
            </w:drawing>
          </mc:Choice>
          <mc:Fallback>
            <w:pict>
              <v:rect style="position:absolute;rotation:-0;width:118.55pt;height:27.6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in its entirety as follows:</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6976745</wp:posOffset>
                </wp:positionH>
                <wp:positionV relativeFrom="line">
                  <wp:posOffset>635</wp:posOffset>
                </wp:positionV>
                <wp:extent cx="38100" cy="175260"/>
                <wp:effectExtent l="0" t="0" r="0" b="0"/>
                <wp:wrapNone/>
                <wp:docPr id="160" name="Frame8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1710055</wp:posOffset>
                </wp:positionH>
                <wp:positionV relativeFrom="line">
                  <wp:posOffset>635</wp:posOffset>
                </wp:positionV>
                <wp:extent cx="5266690" cy="350520"/>
                <wp:effectExtent l="0" t="0" r="0" b="0"/>
                <wp:wrapNone/>
                <wp:docPr id="161" name="Frame83"/>
                <a:graphic xmlns:a="http://schemas.openxmlformats.org/drawingml/2006/main">
                  <a:graphicData uri="http://schemas.microsoft.com/office/word/2010/wordprocessingShape">
                    <wps:wsp>
                      <wps:cNvSpPr txBox="1"/>
                      <wps:spPr>
                        <a:xfrm>
                          <a:off x="0" y="0"/>
                          <a:ext cx="526669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Section (b)(i)(2) of the Registration Rights Agreement is hereby amended and restated</w:t>
                            </w:r>
                          </w:p>
                        </w:txbxContent>
                      </wps:txbx>
                      <wps:bodyPr anchor="t" lIns="0" tIns="0" rIns="0" bIns="0">
                        <a:noAutofit/>
                      </wps:bodyPr>
                    </wps:wsp>
                  </a:graphicData>
                </a:graphic>
              </wp:anchor>
            </w:drawing>
          </mc:Choice>
          <mc:Fallback>
            <w:pict>
              <v:rect style="position:absolute;rotation:-0;width:414.7pt;height:27.6pt;mso-wrap-distance-left:0pt;mso-wrap-distance-right:0pt;mso-wrap-distance-top:0pt;mso-wrap-distance-bottom:0pt;margin-top:0pt;mso-position-vertical:top;mso-position-vertical-relative:text;margin-left:134.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Section (b)(i)(2) of the Registration Rights Agreement is hereby amended and restated</w:t>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6976745</wp:posOffset>
                </wp:positionH>
                <wp:positionV relativeFrom="line">
                  <wp:posOffset>635</wp:posOffset>
                </wp:positionV>
                <wp:extent cx="38100" cy="175260"/>
                <wp:effectExtent l="0" t="0" r="0" b="0"/>
                <wp:wrapNone/>
                <wp:docPr id="162" name="Frame11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1252855</wp:posOffset>
                </wp:positionH>
                <wp:positionV relativeFrom="line">
                  <wp:posOffset>635</wp:posOffset>
                </wp:positionV>
                <wp:extent cx="114300" cy="175260"/>
                <wp:effectExtent l="0" t="0" r="0" b="0"/>
                <wp:wrapNone/>
                <wp:docPr id="163" name="Frame119"/>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3.</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3.</w:t>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1252855</wp:posOffset>
                </wp:positionH>
                <wp:positionV relativeFrom="line">
                  <wp:posOffset>635</wp:posOffset>
                </wp:positionV>
                <wp:extent cx="4969510" cy="350520"/>
                <wp:effectExtent l="0" t="0" r="0" b="0"/>
                <wp:wrapNone/>
                <wp:docPr id="164" name="Frame118"/>
                <a:graphic xmlns:a="http://schemas.openxmlformats.org/drawingml/2006/main">
                  <a:graphicData uri="http://schemas.microsoft.com/office/word/2010/wordprocessingShape">
                    <wps:wsp>
                      <wps:cNvSpPr txBox="1"/>
                      <wps:spPr>
                        <a:xfrm>
                          <a:off x="0" y="0"/>
                          <a:ext cx="496951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also cover any other securities of PubCo and other Holders of PubCo’s securities.</w:t>
                            </w:r>
                          </w:p>
                        </w:txbxContent>
                      </wps:txbx>
                      <wps:bodyPr anchor="t" lIns="0" tIns="0" rIns="0" bIns="0">
                        <a:noAutofit/>
                      </wps:bodyPr>
                    </wps:wsp>
                  </a:graphicData>
                </a:graphic>
              </wp:anchor>
            </w:drawing>
          </mc:Choice>
          <mc:Fallback>
            <w:pict>
              <v:rect style="position:absolute;rotation:-0;width:391.3pt;height:27.6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also cover any other securities of PubCo and other Holders of PubCo’s securities.</w:t>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6976745</wp:posOffset>
                </wp:positionH>
                <wp:positionV relativeFrom="line">
                  <wp:posOffset>635</wp:posOffset>
                </wp:positionV>
                <wp:extent cx="38100" cy="175260"/>
                <wp:effectExtent l="0" t="0" r="0" b="0"/>
                <wp:wrapNone/>
                <wp:docPr id="165" name="Frame11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3014345</wp:posOffset>
                </wp:positionH>
                <wp:positionV relativeFrom="line">
                  <wp:posOffset>635</wp:posOffset>
                </wp:positionV>
                <wp:extent cx="3962400" cy="175260"/>
                <wp:effectExtent l="0" t="0" r="0" b="0"/>
                <wp:wrapNone/>
                <wp:docPr id="166" name="Frame116"/>
                <a:graphic xmlns:a="http://schemas.openxmlformats.org/drawingml/2006/main">
                  <a:graphicData uri="http://schemas.microsoft.com/office/word/2010/wordprocessingShape">
                    <wps:wsp>
                      <wps:cNvSpPr txBox="1"/>
                      <wps:spPr>
                        <a:xfrm>
                          <a:off x="0" y="0"/>
                          <a:ext cx="3962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of this Agreement. Such Form S-3 registration statement may</w:t>
                            </w:r>
                          </w:p>
                        </w:txbxContent>
                      </wps:txbx>
                      <wps:bodyPr anchor="t" lIns="0" tIns="0" rIns="0" bIns="0">
                        <a:noAutofit/>
                      </wps:bodyPr>
                    </wps:wsp>
                  </a:graphicData>
                </a:graphic>
              </wp:anchor>
            </w:drawing>
          </mc:Choice>
          <mc:Fallback>
            <w:pict>
              <v:rect style="position:absolute;rotation:-0;width:312pt;height:13.8pt;mso-wrap-distance-left:0pt;mso-wrap-distance-right:0pt;mso-wrap-distance-top:0pt;mso-wrap-distance-bottom:0pt;margin-top:0pt;mso-position-vertical:top;mso-position-vertical-relative:text;margin-left:237.3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of this Agreement. Such Form S-3 registration statement may</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2710180</wp:posOffset>
                </wp:positionH>
                <wp:positionV relativeFrom="line">
                  <wp:posOffset>635</wp:posOffset>
                </wp:positionV>
                <wp:extent cx="304165" cy="350520"/>
                <wp:effectExtent l="0" t="0" r="0" b="0"/>
                <wp:wrapNone/>
                <wp:docPr id="167" name="Frame115"/>
                <a:graphic xmlns:a="http://schemas.openxmlformats.org/drawingml/2006/main">
                  <a:graphicData uri="http://schemas.microsoft.com/office/word/2010/wordprocessingShape">
                    <wps:wsp>
                      <wps:cNvSpPr txBox="1"/>
                      <wps:spPr>
                        <a:xfrm>
                          <a:off x="0" y="0"/>
                          <a:ext cx="3041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b(iii)</w:t>
                            </w:r>
                          </w:p>
                        </w:txbxContent>
                      </wps:txbx>
                      <wps:bodyPr anchor="t" lIns="0" tIns="0" rIns="0" bIns="0">
                        <a:noAutofit/>
                      </wps:bodyPr>
                    </wps:wsp>
                  </a:graphicData>
                </a:graphic>
              </wp:anchor>
            </w:drawing>
          </mc:Choice>
          <mc:Fallback>
            <w:pict>
              <v:rect style="position:absolute;rotation:-0;width:23.95pt;height:27.6pt;mso-wrap-distance-left:0pt;mso-wrap-distance-right:0pt;mso-wrap-distance-top:0pt;mso-wrap-distance-bottom:0pt;margin-top:0pt;mso-position-vertical:top;mso-position-vertical-relative:text;margin-left:213.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b(iii)</w:t>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2375535</wp:posOffset>
                </wp:positionH>
                <wp:positionV relativeFrom="line">
                  <wp:posOffset>635</wp:posOffset>
                </wp:positionV>
                <wp:extent cx="334645" cy="175260"/>
                <wp:effectExtent l="0" t="0" r="0" b="0"/>
                <wp:wrapNone/>
                <wp:docPr id="168" name="Frame114"/>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xml:space="preserve">and </w:t>
                            </w:r>
                          </w:p>
                        </w:txbxContent>
                      </wps:txbx>
                      <wps:bodyPr anchor="t" lIns="0" tIns="0" rIns="0" bIns="0">
                        <a:noAutofit/>
                      </wps:bodyPr>
                    </wps:wsp>
                  </a:graphicData>
                </a:graphic>
              </wp:anchor>
            </w:drawing>
          </mc:Choice>
          <mc:Fallback>
            <w:pict>
              <v:rect style="position:absolute;rotation:-0;width:26.35pt;height:13.8pt;mso-wrap-distance-left:0pt;mso-wrap-distance-right:0pt;mso-wrap-distance-top:0pt;mso-wrap-distance-bottom:0pt;margin-top:0pt;mso-position-vertical:top;mso-position-vertical-relative:text;margin-left:187.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1252855</wp:posOffset>
                </wp:positionH>
                <wp:positionV relativeFrom="line">
                  <wp:posOffset>635</wp:posOffset>
                </wp:positionV>
                <wp:extent cx="1122680" cy="175260"/>
                <wp:effectExtent l="0" t="0" r="0" b="0"/>
                <wp:wrapNone/>
                <wp:docPr id="169" name="Frame113"/>
                <a:graphic xmlns:a="http://schemas.openxmlformats.org/drawingml/2006/main">
                  <a:graphicData uri="http://schemas.microsoft.com/office/word/2010/wordprocessingShape">
                    <wps:wsp>
                      <wps:cNvSpPr txBox="1"/>
                      <wps:spPr>
                        <a:xfrm>
                          <a:off x="0" y="0"/>
                          <a:ext cx="112268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paragraphs b(i)(3)</w:t>
                            </w:r>
                          </w:p>
                        </w:txbxContent>
                      </wps:txbx>
                      <wps:bodyPr anchor="t" lIns="0" tIns="0" rIns="0" bIns="0">
                        <a:noAutofit/>
                      </wps:bodyPr>
                    </wps:wsp>
                  </a:graphicData>
                </a:graphic>
              </wp:anchor>
            </w:drawing>
          </mc:Choice>
          <mc:Fallback>
            <w:pict>
              <v:rect style="position:absolute;rotation:-0;width:88.4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paragraphs b(i)(3)</w:t>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6976745</wp:posOffset>
                </wp:positionH>
                <wp:positionV relativeFrom="line">
                  <wp:posOffset>635</wp:posOffset>
                </wp:positionV>
                <wp:extent cx="38100" cy="175260"/>
                <wp:effectExtent l="0" t="0" r="0" b="0"/>
                <wp:wrapNone/>
                <wp:docPr id="170" name="Frame11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1252855</wp:posOffset>
                </wp:positionH>
                <wp:positionV relativeFrom="line">
                  <wp:posOffset>635</wp:posOffset>
                </wp:positionV>
                <wp:extent cx="5723890" cy="175260"/>
                <wp:effectExtent l="0" t="0" r="0" b="0"/>
                <wp:wrapNone/>
                <wp:docPr id="171" name="Frame111"/>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of the date the Demand Notice is given, and in each case, subject to the limitations of</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of the date the Demand Notice is given, and in each case, subject to the limitations of</w:t>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1252855</wp:posOffset>
                </wp:positionH>
                <wp:positionV relativeFrom="line">
                  <wp:posOffset>635</wp:posOffset>
                </wp:positionV>
                <wp:extent cx="114300" cy="175260"/>
                <wp:effectExtent l="0" t="0" r="0" b="0"/>
                <wp:wrapNone/>
                <wp:docPr id="172" name="Frame82"/>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2.</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2.</w:t>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1252855</wp:posOffset>
                </wp:positionH>
                <wp:positionV relativeFrom="line">
                  <wp:posOffset>635</wp:posOffset>
                </wp:positionV>
                <wp:extent cx="5723890" cy="175260"/>
                <wp:effectExtent l="0" t="0" r="0" b="0"/>
                <wp:wrapNone/>
                <wp:docPr id="173" name="Frame109"/>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Holders, as specified by notice given by each such Holder to PubCo within twenty (20) days</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Holders, as specified by notice given by each such Holder to PubCo within twenty (20) days</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6975475</wp:posOffset>
                </wp:positionH>
                <wp:positionV relativeFrom="line">
                  <wp:posOffset>635</wp:posOffset>
                </wp:positionV>
                <wp:extent cx="38100" cy="175260"/>
                <wp:effectExtent l="0" t="0" r="0" b="0"/>
                <wp:wrapNone/>
                <wp:docPr id="174" name="Frame10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1252855</wp:posOffset>
                </wp:positionH>
                <wp:positionV relativeFrom="line">
                  <wp:posOffset>635</wp:posOffset>
                </wp:positionV>
                <wp:extent cx="5723255" cy="175260"/>
                <wp:effectExtent l="0" t="0" r="0" b="0"/>
                <wp:wrapNone/>
                <wp:docPr id="175" name="Frame107"/>
                <a:graphic xmlns:a="http://schemas.openxmlformats.org/drawingml/2006/main">
                  <a:graphicData uri="http://schemas.microsoft.com/office/word/2010/wordprocessingShape">
                    <wps:wsp>
                      <wps:cNvSpPr txBox="1"/>
                      <wps:spPr>
                        <a:xfrm>
                          <a:off x="0" y="0"/>
                          <a:ext cx="57232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covering all Registrable Securities requested to be included in such registration by any other</w:t>
                            </w:r>
                          </w:p>
                        </w:txbxContent>
                      </wps:txbx>
                      <wps:bodyPr anchor="t" lIns="0" tIns="0" rIns="0" bIns="0">
                        <a:noAutofit/>
                      </wps:bodyPr>
                    </wps:wsp>
                  </a:graphicData>
                </a:graphic>
              </wp:anchor>
            </w:drawing>
          </mc:Choice>
          <mc:Fallback>
            <w:pict>
              <v:rect style="position:absolute;rotation:-0;width:450.65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covering all Registrable Securities requested to be included in such registration by any other</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6976745</wp:posOffset>
                </wp:positionH>
                <wp:positionV relativeFrom="line">
                  <wp:posOffset>635</wp:posOffset>
                </wp:positionV>
                <wp:extent cx="38100" cy="175260"/>
                <wp:effectExtent l="0" t="0" r="0" b="0"/>
                <wp:wrapNone/>
                <wp:docPr id="176" name="Frame10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1252855</wp:posOffset>
                </wp:positionH>
                <wp:positionV relativeFrom="line">
                  <wp:posOffset>635</wp:posOffset>
                </wp:positionV>
                <wp:extent cx="5723890" cy="175260"/>
                <wp:effectExtent l="0" t="0" r="0" b="0"/>
                <wp:wrapNone/>
                <wp:docPr id="177" name="Frame105"/>
                <a:graphic xmlns:a="http://schemas.openxmlformats.org/drawingml/2006/main">
                  <a:graphicData uri="http://schemas.microsoft.com/office/word/2010/wordprocessingShape">
                    <wps:wsp>
                      <wps:cNvSpPr txBox="1"/>
                      <wps:spPr>
                        <a:xfrm>
                          <a:off x="0" y="0"/>
                          <a:ext cx="572389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amendment or prospectus supplement to an existing Form S-3 registration statement)</w:t>
                            </w:r>
                          </w:p>
                        </w:txbxContent>
                      </wps:txbx>
                      <wps:bodyPr anchor="t" lIns="0" tIns="0" rIns="0" bIns="0">
                        <a:noAutofit/>
                      </wps:bodyPr>
                    </wps:wsp>
                  </a:graphicData>
                </a:graphic>
              </wp:anchor>
            </w:drawing>
          </mc:Choice>
          <mc:Fallback>
            <w:pict>
              <v:rect style="position:absolute;rotation:-0;width:450.7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amendment or prospectus supplement to an existing Form S-3 registration statement)</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6975475</wp:posOffset>
                </wp:positionH>
                <wp:positionV relativeFrom="line">
                  <wp:posOffset>635</wp:posOffset>
                </wp:positionV>
                <wp:extent cx="38100" cy="175260"/>
                <wp:effectExtent l="0" t="0" r="0" b="0"/>
                <wp:wrapNone/>
                <wp:docPr id="178" name="Frame10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1252855</wp:posOffset>
                </wp:positionH>
                <wp:positionV relativeFrom="line">
                  <wp:posOffset>635</wp:posOffset>
                </wp:positionV>
                <wp:extent cx="5722620" cy="175260"/>
                <wp:effectExtent l="0" t="0" r="0" b="0"/>
                <wp:wrapNone/>
                <wp:docPr id="179" name="Frame103"/>
                <a:graphic xmlns:a="http://schemas.openxmlformats.org/drawingml/2006/main">
                  <a:graphicData uri="http://schemas.microsoft.com/office/word/2010/wordprocessingShape">
                    <wps:wsp>
                      <wps:cNvSpPr txBox="1"/>
                      <wps:spPr>
                        <a:xfrm>
                          <a:off x="0" y="0"/>
                          <a:ext cx="57226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Holders, file a Form S-3 registration statement under the Securities Act (or a post-effective</w:t>
                            </w:r>
                          </w:p>
                        </w:txbxContent>
                      </wps:txbx>
                      <wps:bodyPr anchor="t" lIns="0" tIns="0" rIns="0" bIns="0">
                        <a:noAutofit/>
                      </wps:bodyPr>
                    </wps:wsp>
                  </a:graphicData>
                </a:graphic>
              </wp:anchor>
            </w:drawing>
          </mc:Choice>
          <mc:Fallback>
            <w:pict>
              <v:rect style="position:absolute;rotation:-0;width:450.6pt;height:13.8pt;mso-wrap-distance-left:0pt;mso-wrap-distance-right:0pt;mso-wrap-distance-top:0pt;mso-wrap-distance-bottom:0pt;margin-top:0pt;mso-position-vertical:top;mso-position-vertical-relative:text;margin-left:9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Holders, file a Form S-3 registration statement under the Securities Act (or a post-effective</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6975475</wp:posOffset>
                </wp:positionH>
                <wp:positionV relativeFrom="line">
                  <wp:posOffset>635</wp:posOffset>
                </wp:positionV>
                <wp:extent cx="38100" cy="175260"/>
                <wp:effectExtent l="0" t="0" r="0" b="0"/>
                <wp:wrapNone/>
                <wp:docPr id="180" name="Frame10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9.2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 WITNESS WHEREOF, the signatories hereto have caused this waiver to be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duly executed by their respective authorized officers as of the day and year first above written.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GEMINI SPACE STATION, INC.</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[Signature page to Amendment No. 1 to Registration Rights Agreement]</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4</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Registration Rights Agreement Parties:</w:t>
      </w:r>
    </w:p>
    <w:p>
      <w:pPr>
        <w:pStyle w:val="TextBody"/>
        <w:bidi w:val="0"/>
        <w:spacing w:lineRule="atLeast" w:line="142"/>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[Signature page to Amendment No. 1 to Registration Rights Agreement]</w:t>
      </w:r>
      <w:r>
        <mc:AlternateContent>
          <mc:Choice Requires="wps">
            <w:drawing>
              <wp:anchor behindDoc="0" distT="0" distB="0" distL="0" distR="0" simplePos="0" locked="0" layoutInCell="1" allowOverlap="1" relativeHeight="222">
                <wp:simplePos x="0" y="0"/>
                <wp:positionH relativeFrom="page">
                  <wp:posOffset>3345180</wp:posOffset>
                </wp:positionH>
                <wp:positionV relativeFrom="line">
                  <wp:posOffset>635</wp:posOffset>
                </wp:positionV>
                <wp:extent cx="3590925" cy="1423035"/>
                <wp:effectExtent l="0" t="0" r="0" b="0"/>
                <wp:wrapNone/>
                <wp:docPr id="181" name="Frame164"/>
                <a:graphic xmlns:a="http://schemas.openxmlformats.org/drawingml/2006/main">
                  <a:graphicData uri="http://schemas.microsoft.com/office/word/2010/wordprocessingShape">
                    <wps:wsp>
                      <wps:cNvSpPr txBox="1"/>
                      <wps:spPr>
                        <a:xfrm>
                          <a:off x="0" y="0"/>
                          <a:ext cx="3590925" cy="1423035"/>
                        </a:xfrm>
                        <a:prstGeom prst="rect"/>
                        <a:solidFill>
                          <a:srgbClr val="FFFFFF"/>
                        </a:solidFill>
                      </wps:spPr>
                      <wps:txbx>
                        <w:txbxContent>
                          <w:tbl>
                            <w:tblPr>
                              <w:tblW w:w="5887" w:type="dxa"/>
                              <w:jc w:val="left"/>
                              <w:tblInd w:w="0" w:type="dxa"/>
                              <w:tblLayout w:type="fixed"/>
                              <w:tblCellMar>
                                <w:top w:w="28" w:type="dxa"/>
                                <w:left w:w="28" w:type="dxa"/>
                                <w:bottom w:w="28" w:type="dxa"/>
                                <w:right w:w="28" w:type="dxa"/>
                              </w:tblCellMar>
                            </w:tblPr>
                            <w:tblGrid>
                              <w:gridCol w:w="2516"/>
                              <w:gridCol w:w="3371"/>
                            </w:tblGrid>
                            <w:tr>
                              <w:trPr/>
                              <w:tc>
                                <w:tcPr>
                                  <w:tcW w:w="2516" w:type="dxa"/>
                                  <w:tcBorders/>
                                  <w:vAlign w:val="center"/>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2516" w:type="dxa"/>
                                  <w:tcBorders/>
                                  <w:vAlign w:val="center"/>
                                </w:tcPr>
                                <w:p>
                                  <w:pPr>
                                    <w:pStyle w:val="TableContents"/>
                                    <w:bidi w:val="0"/>
                                    <w:spacing w:before="0" w:after="283"/>
                                    <w:jc w:val="left"/>
                                    <w:rPr>
                                      <w:sz w:val="4"/>
                                      <w:szCs w:val="4"/>
                                    </w:rPr>
                                  </w:pPr>
                                  <w:r>
                                    <w:rPr>
                                      <w:sz w:val="4"/>
                                      <w:szCs w:val="4"/>
                                    </w:rPr>
                                  </w:r>
                                </w:p>
                              </w:tc>
                              <w:tc>
                                <w:tcPr>
                                  <w:tcW w:w="337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tcBorders/>
                                  <w:vAlign w:val="center"/>
                                </w:tcPr>
                                <w:p>
                                  <w:pPr>
                                    <w:pStyle w:val="TableContents"/>
                                    <w:bidi w:val="0"/>
                                    <w:spacing w:lineRule="atLeast" w:line="166"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By:</w:t>
                                  </w:r>
                                </w:p>
                              </w:tc>
                              <w:tc>
                                <w:tcPr>
                                  <w:tcW w:w="33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Name:</w:t>
                                  </w:r>
                                </w:p>
                              </w:tc>
                              <w:tc>
                                <w:tcPr>
                                  <w:tcW w:w="33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Title:</w:t>
                                  </w:r>
                                </w:p>
                              </w:tc>
                              <w:tc>
                                <w:tcPr>
                                  <w:tcW w:w="33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82.75pt;height:112.05pt;mso-wrap-distance-left:0pt;mso-wrap-distance-right:0pt;mso-wrap-distance-top:0pt;mso-wrap-distance-bottom:0pt;margin-top:0pt;mso-position-vertical:top;mso-position-vertical-relative:text;margin-left:263.4pt;mso-position-horizontal-relative:page">
                <v:textbox>
                  <w:txbxContent>
                    <w:tbl>
                      <w:tblPr>
                        <w:tblW w:w="5887" w:type="dxa"/>
                        <w:jc w:val="left"/>
                        <w:tblInd w:w="0" w:type="dxa"/>
                        <w:tblLayout w:type="fixed"/>
                        <w:tblCellMar>
                          <w:top w:w="28" w:type="dxa"/>
                          <w:left w:w="28" w:type="dxa"/>
                          <w:bottom w:w="28" w:type="dxa"/>
                          <w:right w:w="28" w:type="dxa"/>
                        </w:tblCellMar>
                      </w:tblPr>
                      <w:tblGrid>
                        <w:gridCol w:w="2516"/>
                        <w:gridCol w:w="3371"/>
                      </w:tblGrid>
                      <w:tr>
                        <w:trPr/>
                        <w:tc>
                          <w:tcPr>
                            <w:tcW w:w="2516" w:type="dxa"/>
                            <w:tcBorders/>
                            <w:vAlign w:val="center"/>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2516" w:type="dxa"/>
                            <w:tcBorders/>
                            <w:vAlign w:val="center"/>
                          </w:tcPr>
                          <w:p>
                            <w:pPr>
                              <w:pStyle w:val="TableContents"/>
                              <w:bidi w:val="0"/>
                              <w:spacing w:before="0" w:after="283"/>
                              <w:jc w:val="left"/>
                              <w:rPr>
                                <w:sz w:val="4"/>
                                <w:szCs w:val="4"/>
                              </w:rPr>
                            </w:pPr>
                            <w:r>
                              <w:rPr>
                                <w:sz w:val="4"/>
                                <w:szCs w:val="4"/>
                              </w:rPr>
                            </w:r>
                          </w:p>
                        </w:tc>
                        <w:tc>
                          <w:tcPr>
                            <w:tcW w:w="337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tcBorders/>
                            <w:vAlign w:val="center"/>
                          </w:tcPr>
                          <w:p>
                            <w:pPr>
                              <w:pStyle w:val="TableContents"/>
                              <w:bidi w:val="0"/>
                              <w:spacing w:lineRule="atLeast" w:line="166"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4"/>
                              </w:rPr>
                              <w:t>By:</w:t>
                            </w:r>
                          </w:p>
                        </w:tc>
                        <w:tc>
                          <w:tcPr>
                            <w:tcW w:w="33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Name:</w:t>
                            </w:r>
                          </w:p>
                        </w:tc>
                        <w:tc>
                          <w:tcPr>
                            <w:tcW w:w="33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Title:</w:t>
                            </w:r>
                          </w:p>
                        </w:tc>
                        <w:tc>
                          <w:tcPr>
                            <w:tcW w:w="33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533525" cy="175260"/>
                <wp:effectExtent l="0" t="0" r="0" b="0"/>
                <wp:wrapNone/>
                <wp:docPr id="182" name="Frame165"/>
                <a:graphic xmlns:a="http://schemas.openxmlformats.org/drawingml/2006/main">
                  <a:graphicData uri="http://schemas.microsoft.com/office/word/2010/wordprocessingShape">
                    <wps:wsp>
                      <wps:cNvSpPr txBox="1"/>
                      <wps:spPr>
                        <a:xfrm>
                          <a:off x="0" y="0"/>
                          <a:ext cx="153352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Name of Shareholder:</w:t>
                            </w:r>
                          </w:p>
                        </w:txbxContent>
                      </wps:txbx>
                      <wps:bodyPr anchor="t" lIns="0" tIns="0" rIns="0" bIns="0">
                        <a:noAutofit/>
                      </wps:bodyPr>
                    </wps:wsp>
                  </a:graphicData>
                </a:graphic>
              </wp:anchor>
            </w:drawing>
          </mc:Choice>
          <mc:Fallback>
            <w:pict>
              <v:rect style="position:absolute;rotation:-0;width:1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Name of Shareholder:</w:t>
                      </w:r>
                    </w:p>
                  </w:txbxContent>
                </v:textbox>
                <w10:wrap type="none"/>
              </v:rect>
            </w:pict>
          </mc:Fallback>
        </mc:AlternateContent>
      </w:r>
      <w:r>
        <mc:AlternateContent>
          <mc:Choice Requires="wps">
            <w:drawing>
              <wp:anchor behindDoc="0" distT="0" distB="0" distL="0" distR="0" simplePos="0" locked="0" layoutInCell="1" allowOverlap="1" relativeHeight="227">
                <wp:simplePos x="0" y="0"/>
                <wp:positionH relativeFrom="page">
                  <wp:posOffset>1533525</wp:posOffset>
                </wp:positionH>
                <wp:positionV relativeFrom="line">
                  <wp:posOffset>635</wp:posOffset>
                </wp:positionV>
                <wp:extent cx="2057400" cy="350520"/>
                <wp:effectExtent l="0" t="0" r="0" b="0"/>
                <wp:wrapNone/>
                <wp:docPr id="183" name="Frame166"/>
                <a:graphic xmlns:a="http://schemas.openxmlformats.org/drawingml/2006/main">
                  <a:graphicData uri="http://schemas.microsoft.com/office/word/2010/wordprocessingShape">
                    <wps:wsp>
                      <wps:cNvSpPr txBox="1"/>
                      <wps:spPr>
                        <a:xfrm>
                          <a:off x="0" y="0"/>
                          <a:ext cx="205740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xml:space="preserve">WINKLEVOSS CAPITAL </w:t>
                            </w:r>
                          </w:p>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FUND, LLC</w:t>
                            </w:r>
                          </w:p>
                        </w:txbxContent>
                      </wps:txbx>
                      <wps:bodyPr anchor="t" lIns="0" tIns="0" rIns="0" bIns="0">
                        <a:noAutofit/>
                      </wps:bodyPr>
                    </wps:wsp>
                  </a:graphicData>
                </a:graphic>
              </wp:anchor>
            </w:drawing>
          </mc:Choice>
          <mc:Fallback>
            <w:pict>
              <v:rect style="position:absolute;rotation:-0;width:162pt;height:27.6pt;mso-wrap-distance-left:0pt;mso-wrap-distance-right:0pt;mso-wrap-distance-top:0pt;mso-wrap-distance-bottom:0pt;margin-top:0pt;mso-position-vertical:top;mso-position-vertical-relative:text;margin-left:120.75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xml:space="preserve">WINKLEVOSS CAPITAL </w:t>
                      </w:r>
                    </w:p>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FUND, LLC</w:t>
                      </w:r>
                    </w:p>
                  </w:txbxContent>
                </v:textbox>
                <w10:wrap type="none"/>
              </v:rect>
            </w:pict>
          </mc:Fallback>
        </mc:AlternateContent>
      </w:r>
    </w:p>
    <w:p>
      <w:pPr>
        <w:pStyle w:val="TextBody"/>
        <w:bidi w:val="0"/>
        <w:spacing w:before="0" w:after="0"/>
        <w:jc w:val="center"/>
        <w:rPr/>
      </w:pPr>
      <w:bookmarkStart w:id="2" w:name="gemiq12026earningsreleas.htm"/>
      <w:bookmarkStart w:id="3" w:name="ksgemiq12026earningsreleas"/>
      <w:bookmarkEnd w:id="2"/>
      <w:bookmarkEnd w:id="3"/>
      <w:r>
        <w:rPr/>
        <w:drawing>
          <wp:inline distT="0" distB="0" distL="0" distR="0">
            <wp:extent cx="10048875" cy="13001625"/>
            <wp:effectExtent l="0" t="0" r="0" b="0"/>
            <wp:docPr id="18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Gemini Reports First Quarter 2026 Results and Announces $100 Million Strategic Investment Gemini increased total revenue 42% YoY in Q1 2026 and received a $100 million strategic investment, helping fuel the company’s expansion from a crypto company into a markets company following several key product and regulatory milestones achieved this year NEW YORK, May 14, 2026 – Gemini Space Station, Inc. (“Gemini,” the “Company,” “we,” or “us”) (NASDAQ: GEMI), a global crypto and prediction markets platform, today announced financial results for the quarter ended March 31, 2026. Gemini also announced today that Winklevoss Capital Fund, LLC (“WCF”) has made a $100 million strategic investment into the Company, at a price of $14 per share of the Company’s Class A common stock, with consideration paid in bitcoin. “We believe the market has significantly undervalued Gemini, and that this investment will allow us to set up the company for its next phase of growth,” said Tyler Winklevoss, CEO of Gemini. “Gemini has achieved several major product and regulatory milestones that position us well to evolve from a crypto company into a markets company. This investment will help fuel that ambition and set Gemini up for long-term success.” “As Gemini continues to evolve, we expect that the momentum we have built in diversifying our revenue will only accelerate,” said Cameron Winklevoss, President of Gemini. “In April, we received our DCO license from the CFTC, which marks a major milestone in our marketplace expansion. In addition to our crypto spot marketplace, Gemini now has taken the next step towards building a full-stack, end-to-end marketplace for predictions as well as futures, options, and more.” First Quarter Results: ● Total revenue increased 42% year-over-year to $50.3 million driven by strong growth in services and OTC revenue. ○ Transaction revenue remained stable year-over-year at $24.1 million. ■ Exchange revenue decreased 27% year-over-year to $17.2 million, reflecting lower spot trading activity and a moderation in crypto market volumes, with total trading volume declining to $6.3 billion from $13.5 billion in Q1 2025. ■ OTC revenue increased to $6.3 million from $0.1 million in Q1 2025, driven by higher institutional client activity, including several larger trades during the quarter, and continued expansion of our electronic OTC (eOTC) platform. ■ Prediction markets revenue was $0.4 million, reflecting the first full quarter of contribution following the December 2025 launch. Approximately 20K users have traded on the Company’s prediction markets offering since launch. ○ Services revenue and interest income increased 122% year-over-year to $24.5 million, now representing 49% of total revenue compared to 31% in Q1 2025. ■ Credit card revenue increased nearly 300% year-over-year to $14.7 million, driven by significant growth in the Gemini Credit Card user base — with approximately 13,100 new sign-ups in Q1 2026, more than double the approximately 6,000 in Q1 2025, and approximately 123,700 cumulative new cardholders over the trailing four quarters. Managed card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receivables more than tripled over the same period, growing from $69 million to $217 million. ■ Advisory fee revenue was $2.7 million, reflecting an advisory services agreement with a strategic customer entered into in Q3 2025. There was no comparable revenue in Q1 2025. ■ Custodial fee revenue was $1.9 million, roughly flat year-over-year. ■ Staking revenue decreased 31% year-over-year to $2.1 million, reflecting lower asset prices and reduced staking yields relative to the prior year period. ■ Interest income was $2.6 million, up 16% year-over-year due to higher average customer cash balances on the platform. ● Total operating expenses increased 73% year-over-year to $144.5 million. The year- over-year increase was primarily driven by compensation, marketing, and credit card- related costs associated with the significant business expansion undertaken throughout 2025, partially offset by the benefits of a reduction in force completed in Q1 2026. ○ Salaries and compensation increased 91% year-over-year to $65.4 million. Excluding $24.2 million of stock-based compensation and $6.5 million of severance and related payroll taxes associated with the Q1 2026 reduction in force, total salaries and compensation increased 6% year-over-year to $34.8 million, reflecting a lean and stable run-rate cost base entering Q2 2026. ○ Sales and marketing increased 111% year-over-year to $19.1 million, with. spend moderating from peak levels in Q3 and Q4 2025 as the Company continues to deploy marketing capital opportunistically in line with market conditions. Within sales and marketing: ■ Marketing acquisition and brand spend increased 61% year-over-year to $7.6 million, reflecting brand and performance marketing investments to support customer acquisition and broader platform awareness. ■ Credit card rewards and promotional and referral incentives increased 170% year-over-year to $11.4 million, driven primarily by higher credit card crypto rewards tied to the significant growth in cardholder spend activity. ○ Transaction losses increased 169% year-over-year to $11.1 million, primarily driven by a $4.6 million provision for credit losses and a $4.1 million fraud reserve, both related to the growing credit card portfolio and reflecting portfolio seasoning alongside the significant growth in managed card receivables, which reached $218.1 million at quarter-end. ○ Technology expenses increased 32% year-over-year to $22.1 million, reflecting infrastructure investments to support platform growth and new product launches. ○ General and administrative expenses increased 55% year-over-year to $21.7 million, driven primarily by higher legal expenses. ● Net loss improved 27% year-over-year to $(109.0) million, compared to $(149.3) million in Q1 2025. ● Net loss per share, basic and diluted, was $(0.93), compared to $(30.34) in Q1 2025. ● Adjusted EBITDA improved modestly to $(59.9) million, compared to $(61.6) million in Q1 2025, reflecting revenue growth and early benefits from cost discipline following restructuring actions. ● Cash and cash equivalents totaled $215.6 million, compared with $252.2 million at the end of Q4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Monthly Transacting Users were 589,000, up 17% year-over-year. ● Assets on Platform were $11.1 billion as of March 31, 2026, compared to $14.2 billion at March 31, 2025, reflecting lower crypto asset valuations relative to the elevated market levels in the prior year period. Business Highlights Gemini Strengthens Balance Sheet with $100 Million Investment ● On May 14, 2026, Gemini closed a $100.0 million private placement with WCF in exchange for 7,142,857 shares of the Company’s Class A common stock, with the investment funded in bitcoin. ● The transaction enhances the Company’s liquidity and supports continued investment in product development, strategic initiatives, and general corporate purposes. Additional details are available in the Company’s Form 8-K, filed with the Securities and Exchange Commission (“SEC”) on May 14, 2026. Gemini Secures DCO License, Next Step In Full-Stack Markets Infrastructure ● On April 29, 2026, Gemini Olympus received a Derivatives Clearing Organization (“DCO”) license from the U.S. Commodity Futures Trading Commission (“CFTC”), making Gemini one of only a handful of crypto-native platforms in the U.S. to hold both a Designated Contract Markets (“DCM”) and a DCO license in-house. Together, these licenses represent the next step for Gemini to be a full-stack, end-to-end marketplace for predictions, futures, options, and more, without reliance on third-party clearinghouses. ● The DCO will enable Gemini to handle settlement, risk management, collateral, and trade guarantees internally, laying the critical infrastructure for an expanded U.S. derivatives offering. With these licenses, Gemini Titan will explore expanding its derivatives offering for U.S. customers to include crypto futures, options, and perpetual contracts or perps, once these contracts are allowed in the U.S. ● These licenses also underscore Gemini’s dedication to building a best-in-class predictions market in-house. We believe owning both the exchange and the clearinghouse will allow Gemini to deliver a better customer experience, respond faster to market opportunities, and retain the enterprise value embedded in its DCM and DCO licenses from the CFTC. Gemini Predictions Gains Momentum ● Gemini Predictions gained meaningful traction in Q1 2026 and accelerated into Q2, with April 2026 volume up 78% month-over-month. The platform has surpassed 100 million contracts traded across more than 20,000 traders since its December 2025 launch. ● Unlike peers who have chosen to partner with third-party venues, Gemini has chosen to build its entire prediction markets infrastructure in-house. Having operated spot crypto markets for over a decade, Gemini is uniquely positioned to build and win in this space. Gemini Launches Agentic Trading To Capture the Future of Autonomous Crypto Trading ● In April 2026, Gemini launched Agentic Trading, one of the first agentic trading tools available directly through a regulated U.S.-based exchange. Agentic Trading allows customers to connect AI agents including Claude, ChatGPT, and others directly to Gemini's full API to place trades, monitor markets, and manage risk autonomously.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The tool includes Trading Skills, a library of modular, pre-built functions that agents can call on demand, including real-time market data, bid-ask spread retrieval, and historical candlestick data, with more expected to be launched soon. Agentic Trading is designed to meet traders where they are, with a low floor for beginners and a high ceiling for sophisticated quant strategies. Conference Call As previously announced, management will host a conference call tomorrow, May 15, 2026, at 8:30 a.m. E.T to discuss its Q1 2026 earnings results. The event will be webcast live via our investor relations website. Call registration and webcast details are available on the Events page of our investor relations website https://investors.gemini.com/ ahead of the call. Following the call, a replay and transcript, as well as copies of Gemini’s earnings press release and earnings presentation, will also be available at https://investors.gemini.com/. The information on our website or accessible through our website is not incorporated or a part of this earnings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Gemini Space Station, Inc. Condensed Consolidated Balance Sheets (in thousands, except par value) March 31, December 31, 2026 2025 Assets Current assets: Cash and cash equivalents $ 215,623 $ 252,215 Restricted cash and cash equivalents 103,747 115,279 Customer custodial funds 483,774 527,354 Crypto assets held 271,956 439,622 Accounts receivable, net 32,474 30,887 Credit card receivables pledged, net 183,965 188,754 Prepaid expenses and other current assets 42,957 52,140 Total current assets 1,334,496 1,606,251 Software, property and equipment, net 14,947 15,083 Intangible assets, net 134,231 139,805 Other non-current assets, net 38,142 40,708 Total assets $ 1,521,816 $ 1,801,847 Liabilities and Stockholders' Equity Current liabilities: Custodial funds due to customers $ 483,656 $ 527,307 Accounts payable 1,958 2,647 Accrued expenses 73,683 55,466 Third party loans 75,349 75,151 Related party loans 252,574 403,931 Funding debt 140,457 154,374 Other current liabilities 19,237 21,528 Total current liabilities 1,046,914 1,240,404 Non-current liabilities: Lease liabilities 18,764 20,570 Total non-current liabilities 18,764 20,570 Total liabilities 1,065,678 1,260,974 Commitments and contingencies Stockholders' equity: Class A common stock, par value $0.001 per share; 1,000,000 shares authorized; 44,007 and 42,329 shares issued and outstanding as of March 31, 2026 and December 31, 2025, respectively 45 43 Class B common stock, par value $0.001 per share; 100,000 shares authorized; 75,127 shares issued and outstanding as of March 31, 2026 and December 31, 2025 75 75 Preferred stock, par value $0.001 per share; 20,000 shares authorized, no shares issued and outstanding as of March 31, 2026 and December 31, 2025 — — Treasury stock at cost; 1,132 and 284 shares as of March 31, 2026 and December 31, 2025, respectively (569) (568) Additional paid-in capital 2,607,625 2,583,689 Accumulated other comprehensive income 1,193 887 Accumulated deficit (2,152,231) (2,043,253) Total stockholders' equity 456,138 540,873 Total liabilities and stockholders' equity $ 1,521,816 $ 1,801,847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Gemini Space Station, Inc. Condensed Consolidated Statements of Operations and Comprehensive Loss (in thousands, except per share data) (unaudited) Three Months Ended March 31, 2026 2025 Revenue: Net revenue $ 48,578 $ 35,117 Other revenue 1,694 205 Total revenue 50,272 35,322 Operating expenses: Salaries and compensation 65,428 34,272 Technology 22,090 16,674 General and administrative 21,680 13,999 Transaction losses 11,090 4,130 Sales and marketing 19,071 9,036 Transaction processing 5,101 5,238 Total operating expenses 144,460 83,349 Operating loss (94,188) (48,027) Other income (expense): Realized and unrealized loss on crypto assets and receivable, crypto assets pledged (100,977) (128,929) Realized and unrealized gain on related party crypto loans 90,082 99,001 Change in fair value on related party convertible notes — (8,187) Change in fair value on related party loans — (55,547) Interest expense on related party loans (3,311) (13,897) Interest expense on third party loans (1,792) (3,228) Interest expense on funding debt (2,495) — Other income (expense), net 3,724 4,538 Total other income (expense), net (14,769) (106,249) Net loss before income taxes (108,957) (154,276) Income tax benefit (provision) (21) 5,012 Net loss $ (108,978) $ (149,264) Net loss per share attributable to common stockholders Basic $ (0.93) $ (30.34) Diluted $ (0.93) $ (30.34) Weighted average shares outstanding - basic and diluted: 116,582 4,920 Net loss $ (108,978) $ (149,264) Other comprehensive income: Foreign currency translation, net of tax 306 475 Change in fair value attributable to instrument-specific credit risk — 4,327 Total other comprehensive income 306 4,802 Comprehensive loss $ (108,672) $ (144,462)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Gemini Space Station, Inc. Condensed Consolidated Statements of Cash Flows (in thousands) (unaudited) Three Months Ended March 31, 2026 2025 Cash flows from operating activities Net loss $ (108,978) $ (149,264) Adjustments to reconcile net loss to net cash used in operating activities Depreciation and amortization 7,482 7,855 Impairment 1,327 — Change in fair value on related party convertible notes — 8,187 Change in fair value on related party loans — 55,547 Realized and unrealized loss on crypto assets and receivable, crypto assets pledged 100,977 128,929 Realized and unrealized gain on related party crypto loans (90,082) (99,001) Provision for transaction losses 11,090 4,130 Stock-based compensation 24,178 1,455 Crypto assets received as revenue (3,532) (9,641) Crypto asset payments for expenses 11,761 6,734 Warrants received as revenue (2,710) — Non-cash lease expense 2,549 1,127 Realized and unrealized gain on derivatives (3,323) (3,230) Other operating activities, net 2,650 762 Changes in operating assets and liabilities: Purchase of crypto assets (65,588) (20,553) Disposal of crypto assets 54,200 47,043 Accounts receivable (28,112) (3,032) Other assets 13,096 28,459 Accounts payable and accrued expenses 18,363 (9,562) Payables due to related parties (638) 13,804 Payables due to third parties — 3,229 Payables due for funding debt 173 — Lease liabilities (2,062) (1,392) Other liabilities 2,747 (30,000) Net cash used in operating activities (54,432) (18,414) Cash flows from investing activities Proceeds from disposal of crypto assets 2,853 34,405 Purchases of credit card receivables (489,314) (119,485) Proceeds from repayments of credit card receivables 510,644 116,760 Capitalization of internally developed software costs (1,991) (1,188) Purchase of software, property and equipment (127) (188) Other investing activities, net 130 (25) Net cash provided by investing activities 22,195 30,279 Cash flows from financing activities Custodial funds due to customers, net of redemptions (45,136) (81,421) Proceeds from related party convertible notes — — Proceeds from related party loans — — Proceeds from funding debt 435,200 — Repayment of funding debt (449,290) — Payment of withholding taxes on settlement of restricted stock units (240) — Payment for tax withholdings related to net share settlements of equity awards (1) — Net cash used in financing activities (59,467) (81,421)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Gemini Space Station, Inc. Condensed Consolidated Statements of Cash Flows (in thousands) (unaudited) Three Months Ended March 31, 2026 2025 Net decrease in cash, cash equivalents, restricted cash and cash equivalents (91,704) (69,556) Cash, cash equivalents, restricted cash and cash equivalents, beginning of period 894,848 646,858 Cash, cash equivalents, restricted cash and cash equivalents, end of period $ 803,144 $ 577,302 Cash, cash equivalents, restricted cash and cash equivalents consisted of the following: Cash and cash equivalents $ 215,623 $ 39,199 Restricted cash and cash equivalents 103,747 44,152 Customer custodial funds 483,774 493,951 Total cash, cash equivalents, restricted cash and cash equivalents $ 803,144 $ 577,302 Supplemental disclosure of cash flow information Cash paid during the period for interest $ 5,543 $ 93 Cash paid during the period for income taxes, net of refunds 123 183 Supplemental schedule of non-cash investing and financing activities Related party loans received in crypto assets 58,571 114,575 Conversion of related party loans into related party convertible notes — 246,245 Repayments of related party loans denominated in crypto assets 119,208 15,075 Credit card receivables posted (returned) as collateral for funding debt, net (4,789) — Crypto assets posted (returned) as collateral for third party loans, net — (58,726) Crypto asset collateral received (returned) for derivatives, net (424) (780) Repayment of third party loan interest denominated in crypto — 3,229 Change in fair value attributable to instrument-specific credit risk — 4,327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Reconciliation of Non-GAAP Financial Measures Adjusted EBITDA (in thousands) Q1'25 Q2'25 Q3'25 Q4'25 Q1'26 Net loss $ (149,264) $ (133,212) $ (159,514) $ (140,823) $ (108,978) Adjusted to exclude the following: Provision for (benefit from) income taxes (5,012) 76 (1,186) 135 21 Depreciation and amortization 7,855 7,662 7,672 7,534 7,482 Interest expense 17,125 19,611 22,816 10,782 7,598 Stock-based compensation expense 1,455 1,753 45,751 35,997 24,178 Impairment — — — 650 0 Restructuring charges(1) — — — — 7,866 Non-recurring legal contingencies, settlements, and related costs 2,580 3,848 — — 424 Change in fair value on related party convertible notes 8,187 9,424 8,178 — — Change in fair value on related party loans 55,547 38,773 24,989 — — Non-recurring gain related to conversion of convertible notes and term loans — — — (5,841) — Unrealized foreign exchange loss (gain) (53) 190 (1,087) (591) 1,484 Adjusted EBITDA $ (61,580) $ (51,875) $ (52,381) $ (92,157) $ (59,925) __________________ (1) Includes impairment charges in connection with the restructuring of $1.3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Forward-Looking Statements This communication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 are forward-looking statements. These statements include, but are not limited to, statements regarding our operating results and financial position; anticipated future expenses, including our financial outlook, and investments; expectations relating to certain of our key financial and operating metrics; our business strategy and plans, including expectations related to our full-stack end-to-end marketplace strategy; expectations relating to legal and regulatory proceedings; expectations relating to our industry, the regulatory environment, market conditions, trends and growth; expectations relating to customer behaviors and preferences; our market position; potential market opportunities; and our objectives for future operations. The words “believe,” “may,” “will,” “estimate,” “potential,” “continue,” “anticipate,” “intend,” “expect,” “could,” “would,” “project,” “plan,” “target,” and similar expressions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among others: our ability to successfully execute our business and growth strategy and generate future profitability; market acceptance of our products and services; our ability to further penetrate our existing customer base and expand our customer base; our ability to develop new products and services; our ability obtain applicable regulatory approvals; the success of any acquisitions or investments that we make; the possibility of adverse developments in pending litigation; the risk that the outcome of currently ongoing and potential future regulatory litigation and/or enforcement actions, as well as potential changes in federal or state law, could immediately or subsequently prevent us from offering, or continuing to offer, event contracts; the effects of increased competition in our markets; our ability to stay in compliance with applicable laws and regulations; stock price fluctuations; market conditions across the cryptoeconomy, including crypto price volatility; and general market, political, and economic conditions, including interest rate fluctuations, inflation, tariffs, instability in the global banking system, economic downturns, and other global events, including regional wars and conflicts and government shutdowns. It is not possible for our management to predict all risks, nor can we assess the impact of all factors on our business or the extent to which any factor, or combination of factors, may cause actual results to differ materially from those contained in any forward- 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anticipated results are, or will be included, in our filings we make with the SEC from time to time, including our Annual Reports on Form 10-K and Quarterly Reports on Form 10-Q. Except as required by law, we assume no obligation to update these forward-looking statements, or to update the reasons if actual results differ materially from those anticipated in the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Non-GAAP Financial Measures Management believes that Adjusted EBITDA, which is a measure not presented in accordance with GAAP, provides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profitability and business trends in a way that is consistent with how management evaluates such matters. We define Adjusted EBITDA as net income (loss), adjusted to exclude provision for (benefit from) income taxes, interest expense, depreciation and amortization, stock- based compensation expense, impairment, restructuring charges, non-recurring legal contingencies, settlement and related costs, change in fair value on related party convertible notes, change in fair value on related party loans, gain on conversion of convertible notes and term loans, and unrealized foreign exchange loss (gain). Among other non-cash and non- recurring items, Adjusted EBITDA excludes stock-based compensation expense, which has recently been, and will continue to be for the foreseeable future, a significant recurring expense for our business and an important part of our compensation strategy. In addition, on February 5, 2026, the Company announced its plans to wind down operations in the United Kingdom, European Union, other European jurisdictions, and Australia. As such, beginning with this quarter, Adjusted EBITDA also excludes related restructuring charges, which primarily relate to workforce reductions, lease exit costs, and other actions taken to streamline our operations and that we believe are unusual in nature and/or infrequent in occurrence and are not indicative of our ongoing operating activities. 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Adjusted EBITDA is provided in this earnings release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 Adjusted EBITDA is presented for supplemental informational purposes only, has limitations as an analytical tool, and should not be considered in isolation or as a substitute for financial information presented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Key Performance Metrics In addition to the measures presented in our unaudited condensed consolidated financial statements, management uses key performance metrics to help evaluate our business, identify trends affecting our business, formulate business plans, and make strategic decisions. Our key performance metrics include MTUs, LTUs, Card Sign-Ups, Transaction Volume, and Assets on Platform. Definitions of these key performance metrics can be found below: • Monthly Transacting User: any retail or institutional user who has engaged in any revenue-generating activity or whose account otherwise generated revenue for the Company in the trailing thirty days. MTUs presented for a quarter represent the MTUs as of the last day of the respective quarter. MTUs presented as of the end of a year represent the MTUs as of the last day of that year. • Lifetime Transacting User: LTUs represent the cumulative number of unique MTUs who have ever transacted on our platform and continue to maintain an open account, measured since inception. • Card Sign-Ups: the cumulative number of approved applications for the Gemini Credit Card in the relevant period. Card Sign-Ups include customers who have been approved to open an account, regardless of whether they have subsequently activated or used their card or whether the account later remains open. • Transaction Volume: the total U.S. dollar equivalent value of spot matched trades transacted between a buyer and seller through our platform during the period of measurement. • Assets on Platform: the total value of assets held on our platform and includes digital assets in custody, staking, and exchange products, user custodial fiat, and GUSD reserve assets. For more information and a more detailed discussion of our Key Performance Metrics, refer to our Quarterly Report on Form 10-Q for the quarter ended March 31, 2026 that has been filed with the SEC. Channels for Disclosure of Information As a reminder, we announce material information to the public through filings with the SEC, the investor relations page on our website (investors.gemini.com), the blog on our website (www.gemini.com/blog), press releases, public conference calls, public webcasts, our X account (@gemini), and our LinkedIn page. The information disclosed in the foregoing channels could be deemed to be material information and we use these channels for complying with our disclosure obligations under Regulation FD. As such, we encourage investors, the media, and others to monitor the channels listed above and to review the information disclosed through such channels. About Gemini Gemini (NASDAQ: GEMI) is a global crypto and prediction markets platform founded by Cameron and Tyler Winklevoss in 2014. Gemini offers a wide range of crypto and markets products and services for individuals and institutions. Gemini's simple, reliable, and secure products are built to unlock the next era of financial, creative, and personal freedom.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Contact Investors Gemini Investor Relations Email: investors@gemini.com Press Natalie Johnson Email: press@gemini.com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geminiq126earningspresen.htm"/>
      <w:bookmarkStart w:id="5" w:name="ksgeminiq126earningspresen"/>
      <w:bookmarkEnd w:id="4"/>
      <w:bookmarkEnd w:id="5"/>
      <w:r>
        <w:rPr/>
        <w:drawing>
          <wp:inline distT="0" distB="0" distL="0" distR="0">
            <wp:extent cx="9753600" cy="5486400"/>
            <wp:effectExtent l="0" t="0" r="0" b="0"/>
            <wp:docPr id="1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First Quarter 2026 Results May 2026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Forward-Looking Statements This presentation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 are forward-looking statements. These statements include, but are not limited to, statements regarding our operating results and financial position; anticipated future expenses, including our financial outlook, and investments; expectations relating to certain of our key financial and operating metrics; our business strategy and plans, including expectations related to our full-stack end-to-end marketplace strategy; expectations relating to legal and regulatory proceedings; expectations relating to our industry, the regulatory environment, market conditions, trends, and growth; expectations relating to customer behavior and preferences; our market position; potential market opportunities; and our objectives for future operations. The words “believe,” “may,” “will,” “estimate,” “potential,” “continue,” “anticipate,” “intend,” “expect,” “could,” “would,” “project,” “plan,” “target,” and similar expressions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among others: our ability to successfully execute our business and growth strategy and generate future profitability; market acceptance of our products and services; our ability to further penetrate our existing customer base and expand our customer base; our ability to develop new products and services; our ability to obtain applicable regulatory approvals; the success of any acquisitions or investments that we make; the effects of increased competition in our markets; our ability to stay in compliance with applicable laws and regulations; the possibility of adverse developments in pending litigation; the risk that the outcome of currently ongoing and potential future regulatory litigation and/or enforcement actions, as well as potential changes in federal or state law, could immediately or subsequently prevent us from offering, or continuing to offer, event contracts; stock price fluctuations; market conditions across the cryptoeconomy, including crypto price volatility; and general market, political, and economic conditions, including interest rate fluctuations, inflation, tariffs, instability in the global banking system, economic downturns, and other global events, including regional wars and conflicts and government shutdowns.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anticipated results are, or will be included, in our filings we make with the Securities and Exchange Commission from time to time, including our Annual Reports on Form 10-K and Quarterly Reports on Form 10-Q. Except as required by law, we assume no obligation to update these forward-looking statements, or to update the reasons if actual results differ materially from those anticipated in the forward-looking statements. Key Performance Metrics This presentation includes key performance metrics that our management uses to help evaluate our business, identify trends affecting our business, formulate business plans, and make strategic decisions. Our key performance metrics include certain metrics, such as MTUs, Card Sign-Ups, Transaction Volume, and Assets on Platform. Definitions of these key performance metrics can be found in the Appendix to this presentation. Market and Industry Data This presentation may include market and industry data, forecasts, and other statistical information. Unless otherwise indicated, information concerning the Company’s industry and the markets in which it operates, including general expectations, market position, market opportunity, and market size, are based on management’s knowledge and experience in the markets in which the Company operates, together with currently available information obtained from various sources, including publicly available information, industry reports and publications, surveys, our users, trade and business organizations, and other contacts in the markets in which the Company operates. Certain information is based on management estimates, which have been derived from third-party sources, as well as data from internal research. In presenting this information, the Company has made certain assumptions that it believes to be reasonable based on such data and other similar sources and on the Company’s knowledge of, and experience to date in, the markets in which the Company operates. While the Company believes the estimated market and industry data included in this presentation is reliable, such information is inherently uncertain and imprecise. Market and industry data is subject to change and may be limited by the availability of raw data, the nature of the data gathering process, and other limitations inherent in any statistical survey of such data. In addition, projections, assumptions, and estimates of the future performance of the markets in which the Company operates are necessarily subject to uncertainty and risk due to a variety of factors, which could cause results to differ materially from those expressed in the estimates made by third parties and the Company. Accordingly, you are cautioned not to place undue reliance on such market and industry data or any other such estimates. Trademarks “Gemini” and the Gemini logo are registered trademarks of Gemini Space Station, Inc. All other names are trademarks and/or registered trademarks of their respective owners. This presentation includes financial information prepared in accordance with accounting principles generally accepted in the United States (“GAAP”). This presentation also includes non-GAAP financial information, which should be considered supplemental to, not a substitute for, or superior to, the financial measure calculated in accordance with GAAP. There are a number of limitations related to the use of these non-GAAP financial measures and their nearest GAAP equivalents. For example, the Company’s definitions of non-GAAP financial measures may differ from non-GAAP financial measures used by other companies. For a description of the non-GAAP financial information included herein, see the Appendix to this presentation. A reconciliation to the most directly comparable GAAP measure is set forth in the Appendix to this presentation. Non-GAAP Financial Measures Earnings Presentation | Q1’26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Q1’26 Highlights Total Revenue $50M Y/Y: +42% | $35M Transaction Revenue $24M Y/Y: +0% | $24M Services Revenue &amp; Interest Income $25M Y/Y: +122% | $11M Operating Expenses $144M Y/Y: +73% | $83M Ex SBC: +46% | $82M Adj. EBITDA(1) $(60)M Y/Y: +$2M | $(62)M MTUs(2) 589K Y/Y: +17% | 502K [1] We define Adjusted EBITDA as net income (loss), adjusted to exclude provision for (benefit from) income taxes, interest expense, depreciation and amortization, stock-based compensation expense, impairment, restructuring charges, non-recurring legal contingencies, settlement and related costs, change in fair value on related party convertible notes, change in fair value on related party loans, gain on conversion of convertible notes and term loans, and unrealized foreign exchange loss (gain). Adjusted EBITDA is a non-GAAP financial measure. See the Appendix to this presentation for more information and a reconciliation to the most directly comparable GAAP measure. [2] MTUs is defined as any retail or institutional user who has engaged in any revenue-generating activity or whose account otherwise generated revenue for the Company in the trailing thirty days. MTUs presented for a quarter represent the MTUs as of the last day of the last month of the respective quarter. Numbers presented are as of the first quarter of 2026. [3] Card MTUs is defined as a cardholder who has engaged in any card related revenue-generating activity, including a card payment transaction or card revolving balance, in the trailing thirty days. Card MTUs presented for a quarter represent the Card MTUs as of the last day of the last month of the respective quarter. Numbers presented are as of the first quarter of 2026. Credit Card Revenue $15M Y/Y: +292% | $4M Card MTUs(3) 114K Y/Y: +321% | 27K Earnings Presentation | Q1’26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Delivering on operational discipline with total operating expenses down 16% sequentially in Q1; restructuring expected to be completed, with full-quarter cost expected in Q2 2 Accelerating Predictions with frequent product enhancements since December '25 launch, more than 20k predictions traders1 have traded contracts, and predictions volume2 was up 78% month-over-month in April ‘26 3 Expanding trading capabilities on the platform, launching spot margin with support for long and short positions, a rebuilt advanced trader experience, and a new developer platform enabling agentic trading 4 Building a more durable revenue and user model with services revenue and interest income up 122% year-over-year, driven by card net revenue growth of over 292% year-over-year in Q1 5 Executing on markets company strategy with recently-received Derivatives Clearing Organization DCO) license completing our DCM  DCO stack, advancing toward in-house derivatives in the future, third-party clearing, and broader markets Recent Business Highlights [1] Predictions traders is defined as the cumulative count of unique users that have placed a trade on Gemini Predictions since launch in December 2025. Numbers as of 5/10/26. [2] Predictions volume is defined as the total number of event contracts bought or sold on our prediction marketplace during the period. Each contract can be traded at $0.01 increments up to $1 and is worth $1 upon settlement. Earnings Presentation | Q1’26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EVOLUTION 2014 — 2020 ORIGIN Bitcoin company Regulated bitcoin exchange and custodian 2021 — 2025 GEMINI 1.0 Crypto company Multi-asset crypto trading, custody, staking, credit card 2026 GEMINI 2.0 Markets company Building the super app for the markets economy GEMINI 2.0: FOUR INTEGRATED PRODUCT VERTICALS Invest &amp; Trade Expanding the tradeable universe on our core trading platform: spot crypto, advanced trading, OTC, agentic trading; with plans to launch U.S. stocks1 and derivatives2 Onchain The trusted infrastructure layer powering institutional custody, staking, and the bridge to onchain finance across the platform Card Consumer financial products earning crypto rewards on everyday spend Predictions Vertically integrated prediction markets exchange.3 Markets on crypto, sports, politics, economics, and more ONE SHARED INFRASTRUCTURE Matching engines Trading Systems Custody Compliance Regulatory Licenses [1] Targeting launch this year. Timing and availability is subject to regulatory approval and applicable law. See the forward-looking statements disclaimer provided in this presentation. [2] Subject to CFTC approval and applicable U.S. regulatory frameworks and law. [3] Operating under CFTC DCM and DCO licenses. Earnings Presentation | Q1’26 5 From bitcoin company to markets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Q1’26 6 Q1 reflects the beginning of the post-restructuring cost trajectory Operating Expenses In $mm FTE: 557 618 515 561 639 639 671 652 441 Restructuring initiatives in process Exited Nifty in Q1; exiting UK/Europe and Australia markets; consolidating focus on U.S. market Reduced comp run-rate expected in Q2 Headcount of 444, down 35% from Q3’25 peak. Full effects from reduced headcount expected in Q2 Discipline across the cost base OpEx down 16% sequentially with reductions across Salaries &amp; comp, Tech &amp; G&amp;A, and Sales &amp; marketing Stock-based comp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Advanced ExecutionGemini Integrations UX improvements Explore, categories, LIVE filters, widgets Expanded payments Card, mobile wallet, &amp; pay with crypto Faster resolutions Automated contract resolution Always on markets 24/7 pricing on commodity markets Mobile Orderbook Mobile-first orderbook view Regulatory licenses DCM + DCO licenses approved by the CFTC Liquidity Rewards Launched maker rebate program Dashboard Portfolio P&amp;L and win rates Charting tools Advanced charting tools for price contracts Trading Experience Embedded contracts Crypto price contracts on asset pages Advanced order types Stop-limit, FOK, TIF orders API Trading Enhanced WebSocket API trading Accelerating Gemini Predictions with frequent product enhancements since December ’25 launch 10x Active Contracts1 grew from under 100 in January ’26 to approximately 1,000 by May ’26 65+ CFTC product and rule filings2 since launch Earnings Presentation | Q1’26 7 [1] Active Contracts is defined as the total number of unique event contracts that are available for trading and have had an executed trade [2] The number of filings submitted to the CFTC under either Regulation 40.2 or 40.6.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100M+ Event Contracts Traded2 Since Launch20K+ Total Prediction Traders1 Since Launch Event Contracts Traded2Total Prediction Traders1 +78% MoM Earnings Presentation | Q1’26 8 Predictions growth extended in April ’26, with volume up 78% month-over-month [1] Prediction Traders is defined as the total unique number of users that have executed a trade on our prediction marketplace. Total Prediction Trader count provided as of 5/10/26. [2] Event Contracts Traded is the total number of event contracts bought or sold on our prediction marketplace during the period. Each contract can be traded at $0.01 increments up to $1 and is worth $1 upon settlement. Lifetime cumulative Event Contracts Traded provided as of 5/10/26. +18% MoM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Launched spot margin, with support for both long and short positions with up to 5x leverage, giving active retail traders the ability to hedge, take directional views, and express strategies ● Rebuilt the ActiveTrader interface with a 2.5x performance improvement, real-time market data processing for high-volatility conditions, and order modification capability that helps meet the latency and execution standards of advanced traders ● Launched the Gemini Developer Platform with unified REST, WebSocket, FIX, and MCP API access, opening the trading platform to AI agents that can autonomously monitor markets and execute trades through customer accounts Trading Volume1 down 53% Y/Y, while transaction revenue remained steady Y/Y Q1 Trading Highlights Earnings Presentation | Q1’26 9 [1] Trading Volume is defined as the total U.S. dollar equivalent value of spot matched trades transacted between a buyer and seller through our platform during the period of measurement. Expanding trading capabilities and more ways to serve higher intent trading activity across the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Card Momentum Card net revenue up 292% YoY, scaling with the growth of Card MTUs1 up 321% YoY Services &amp; Interest Mix Services revenue and interest income surpassed 50% of net revenue in Q1, up 31% YoY Building a more durable revenue model, services revenue and interest income up 122% year-over-year Services Revenue and Interest Income In $mms [1] Card MTUs is defined as a unique cardholder account that has a card related revenue qualifying event, either transacting on the card or carrying a revolving balance, in the prior thirty day period. Card MTUs presented for a quarter represent the MTUs as of the last day of the last month in the respective quarter. Earnings Presentation | Q1’26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Card remains an acquisition wedge and engagement driver +50% More than half of all Prediction Traders3 have a Gemini Credit Card +3.7x Card MTUs have 3.7x higher ARPU4 vs retail users that do not have a Gemini Credit Card5 [1]] Open Card Accounts is defined as the number of Gemini Credit Card accounts with an open credit line as of the end of the applicable reporting period. [2] Card MTUs is defined as a unique cardholder account that has a card related revenue qualifying event, either transacting on the card or carrying a revolving balance, in the prior thirty-day period. Card MTUs presented for a quarter represent the Card MTUs as of the last day of the last month in the respective quarter. [3] Prediction Traders is defined as the total unique number of users that have executed a trade on our prediction marketplace. Number provided is as of 5/10/26. [4] Active cardholder ARPU is defined as the total revenue generated on the Gemini platform, including card, by Q1 ‘26 Card MTUs (excluding OTC and institutional revenue), divided by the three-month average of monthly-ending Card MTU values in Q1 2026. [5] Non-cardholder retail ARPU is defined as the total revenue generated on the Gemini platform from MTUs not in the Card MTU cohort (excluding OTC and institutional revenue), divided by the three-month average of monthly ending values of those non-cardholder MTUs in Q1 2026. Open Card Accounts1 vs Card MTUs2 Open Card Accounts (000s) Open Card Accounts1 % of Open Card Accounts that are Card MTUs2 Earnings Presentation | Q1’26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Building a super app for the markets economy We expect to launch new products and features to expand the breadth of our platform* New Asset Class Research &amp; Social Layer Markets Infrastructure Execution Layer [1] Licensure applications planned and in process in U.S. states and territories. [2] Agentic trading platform is not currently offered on stocks. * Products and features are not currently offered. Availability and timing subject to, among other things, regulatory approval and applicable law. See the forward-looking statements disclaimer in this presentation. U.S. Stock Trading Trade U.S. equities and ETFs1* alongside crypto and predictions, broadening spot coverage across major asset classes Command Center Personalized predictions feed with embedded AI insights, real-time market context, and emerging social features to drive informed trading* Derivatives &amp; Clearing Event contracts expected to live on our regulated derivatives stack, with in-house derivatives, third-party clearing, and broader markets ahead* Agentic Trading Platform Developer platform, advanced trading tools, and AI agent integration anticipated across every market on Gemini — crypto, stocks,2 predictions, and derivatives Earnings Presentation | Q1’26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Gemini regulatory positioning is foundational and built, not bolted-on Crypto spot &amp; custody Foundation since 2014 NYDFS Trust Company State Money Transmitter Licenses FinCEN Registration MAS (Singapore)1 Derivatives &amp; clearing DCM + DCO approved in past two quarters CFTC DCM License Approved Dec 2025 CFTC DCO License Approved Apr 2026 CFTC FCM License Application planned Equities &amp; brokerage2 Activated for U.S. stock trading launch3 FINRA Broker-Dealer What DCM + DCO unlock: 1 Predictions live across all 50 states DCM enables Gemini to operate a regulated event contracts marketplace nationwide 2 In-house clearing economics DCO eliminates third-party clearing fees and accelerates settlement across derivatives products 3 Foundation for derivatives ahead Together, DCM + DCO power Gemini's path toward in-house derivatives and third-party clearing for other DCMs More than a decade of compliance-first operations [1] In-principle approval for a Major Payments Institution license. [2] Licensure applications planned and in process in U.S. states and territories. [3] Not currently offered by Gemini. Availability and timing is subject to, among other things, regulatory approval and applicable law. See the forward-looking statements disclaimer included in this presentation. Earnings Presentation | Q1’26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Earnings Presentation | Q1’26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Performance Metrics1 USERS (000s) Q1'25 Q2'25 Q3'25 Q4'25 Q1'26 Y/Y Q/Q Monthly Transacting Users 502 523 587 601 589 17% (2%) Lifetime Transacting Users 1,441 1,499 1,605 1,671 1,680 17% 1% TRADING VOLUME ($B) Q1'25 Q2'25 Q3'25 Q4'25 Q1'26 Y/Y Q/Q Retail 1.8 1.5 1.8 1.6 1.3 (28%) (19%) Institutional 11.7 9.8 14.6 9.9 5.0 (57%) (49%) Total trading volume 13.5 11.3 16.4 11.5 6.3 (53%) (45%) TRADING VOLUME ($B) Q1'25 Q2'25 Q3'25 Q4'25 Q1'26 Y/Y Q/Q Bitcoin 8.0 5.7 5.6 5.0 3.3 (59%) (34%) Ether 2.9 3.1 6.8 3.0 1.3 (54%) (55%) Other 2.6 2.5 4.0 3.5 1.7 (34%) (51%) Total trading volume 13.5 11.3 16.4 11.5 6.3 (53%) (45%) TRADING REVENUE ($ thousands) Q1'25 Q2'25 Q3'25 Q4'25 Q1'26 Y/Y Q/Q Retail 22,521 18,907 22,557 21,124 14,855 (34%) (30%) Institutional 1,017 1,326 2,595 3,379 2,317 128% (31%) Total trading revenue 23,538 20,233 25,152 24,503 17,172 (27%) (30%) ASSETS ON PLATFORM ($B) Q1'25 Q2'25 Q3'25 Q4'25 Q1'26 Y/Y Q/Q Bitcoin 10.6 13.6 14.4 10.1 7.0 (34%) (31%) Ether 1.8 2.6 4.5 3.1 2.1 17% (32%) Other crypto 1.3 1.5 1.8 2.2 1.5 15% (32%) Customer custodial fiat assets 0.5 0.5 0.6 0.5 0.5 - - Total assets on platform 14.2 18.2 21.3 15.9 11.1 (22%) (30%) [1] Definitions of these Key Performance Metrics are provided in the Annex to this presentation Earnings Presentation | Q1’26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TOTAL REVENUE Q1'25 Q2'25 Q3'25 Q4'25 Q1'26 Y/Y Q/Q Transaction revenue Exchange 23,538 20,233 25,152 24,503 17,172 (27%) (30%) OTC 129 611 1,065 2,208 6,325 nmf 186% Predictions 444 n.a. n.a. Other transaction revenue 461 2 120 (2) 187 (59%) nmf Total transaction revenue 24,128 20,846 26,337 26,709 24,128 - (10%) Services revenue Credit card revenue 3,748 4,882 8,532 15,958 14,700 292% (8%) Staking revenue 3,106 2,690 5,883 5,095 2,137 (31%) (58%) Advisory fee revenue 2,098 2,710 2,710 - Custodial fee revenue 1,862 1,878 2,825 2,174 1,868 0% (14%) Other services revenue 592 606 400 (34%) Total services revenue 8,716 9,450 19,930 26,543 21,815 150% (18%) Interest income 2,273 2,501 3,508 3,152 2,635 16% (16%) Net Revenue 35,117 32,797 49,775 56,404 48,578 38% (14%) Corporate interest and other income 205 492 843 3,939 1,694 726% (57%) Total revenue 35,322 33,289 50,618 60,343 50,272 42% (17%) Earnings Presentation | Q1’26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REVENUE Q1'25 Q2'25 Q3'25 Q4'25 Q1'26 Y/Y Q/Q GAAP Revenue Disclosure Reference Exchange related revenue Transaction revenue 24,128 20,846 26,337 26,709 24,128 - (10%) Exchange revenue 23,538 20,233 25,152 24,503 17,172 (27%) (30%) Transaction Revenue OTC 129 611 1,065 2,208 6,325 nmf 186% Transaction Revenue Prediction Markets 444 n.a. n.a. Transaction Revenue Other transaction revenue 461 2 120 (2) 187 (59%) nmf Transaction Revenue Staking revenue 3,106 2,690 5,883 5,095 2,137 (31%) (58%) Services Revenue Advisory fee revenue - - 2,098 2,710 2,710 n.a. - Services Revenue Custodial fee revenue 1,862 1,878 2,825 2,174 1,868 0% (14%) Services Revenue Other services revenue - - 592 606 400 n.a. (34%) Services Revenue Interest income 2,273 2,501 3,508 3,152 2,635 16% (16%) Interest Income Total exchange related revenue $31,369 $27,915 $41,243 $40,446 $33,878 8% (16%) Credit card revenue $3,748 $4,882 $8,532 15,958 14,700 292% (8%) Services Revenue Net Revenue $35,117 $32,797 $49,775 $56,404 $48,578 38% (14%) Corporate interest and other income 205 492 843 3,939 1,694 726% (57%) Other Revenue Total revenue $35,322 $33,289 $50,618 $60,343 $50,272 42% (17%) Revenue Segmentation Earnings Presentation | Q1’26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4Q'24 1Q'25 2Q'25 3Q'25 4Q'25 Salaries and compensation 28,830 34,272 36,829 82,523 72,752 Technology 16,203 16,674 17,799 20,317 22,336 General and administrative 6,519 13,999 19,248 19,335 22,050 Transaction losses 3,311 4,130 3,553 7,693 6,551 Sales and marketing 11,306 9,036 16,122 32,926 37,361 Transaction processing 5,871 5,238 5,173 8,617 7,102 Total Operating Expenses 72,040 83,349 98,724 171,411 168,152 Expense Segmentation Break out SBC from Comp Break out crypto rewards, promos, referrals, etc from marketing OPERATING EXPENSES ($000) Q1'25 Q2'25 Q3'25 Q4'25 Q1'26 Y/Y Q/Q Salaries and compensation 34,272 36,829 82,523 72,248 65,428 91% (9%) Stock-based compensation (SBC) 1,455 1,753 45,751 35,997 24,178 nmf (33%) Salaries and compensation ex. SBC 32,817 35,076 36,772 36,251 41,250 26% 14% Technology 16,674 17,799 20,317 22,337 22,090 32% (1%) General and administrative 13,999 19,248 19,335 24,895 21,680 55% (13%) Transaction losses 4,130 3,553 7,693 5,965 11,090 169% 86% Sales and marketing 9,036 16,122 32,926 39,043 19,071 111% (51%) Marketing acquisition, brand spend, and other 4,821 9,595 20,185 17,899 7,684 59% (57%) Credit card rewards and marketing promotional and referral incentives 4,215 6,527 12,741 21,144 11,387 170% (46%) Transaction processing 5,238 5,173 8,617 7,256 5,101 (3%) (30%) Total Operating Expenses 83,349 98,724 171,411 171,744 144,460 73% (16%) Earnings Presentation | Q1’26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Card Economic Details (In thousands) Q1'25 Q2'25 Q3'25 Q4'25 Q1'26 Y/Y Q/Q Card KPIs Card MTUs1 27 40 90 113 114 321% 1% Card Transaction Volume2 123,141 176,758 356,852 588,417 520,449 323% (12%) Card Receivables3 69,138 93,449 150,627 219,801 218,064 215% (1%) Credit Card Revenue 3,748 4,882 8,532 15,958 14,700 292% (8%) Interchange Revenue 2,197 3,405 7,274 11,796 10,258 367% (13%) Interest Revenue 2,074 2,190 2,720 4,524 5,804 180% 28% Fees owed to issuing bank &amp; other (523) (713) (1,463) (362) (1,362) 160% 276% Less: interest expense on funding debt - - (314) (1,163) (2,495) n.a. 115% Less: crypto rewards (2,245) (2,855) (6,075) (12,278) (8,423) 275% (31%) Pre provision credit card net revenue (PPNR) 1,503 2,027 2,143 2,517 3,782 152% 50% Less: provision for credit losses (2,526) (1,704) (2,843) (2,750) (8,643)4 242% 214% PPNR less provision for credit losses (1,023) 323 (700) (233) (4,861) 375% nmf Managed card portfolio metrics Portfolio receivables 69,138 93,449 150,627 219,801 218,064 215% (1%) Charge-offs 2,009 1,815 1,141 1,652 1,976 (2%) 20% 30+ DPD as a percentage of managed portfolio receivables 5.3% 3.2% 2.7% 3.4% 3.8% (28%) 13% [1] Card MTUs is defined as a cardholder who has engaged in any card related revenue-generating activity, including a card payment transaction or card revolving balance, in the trailing thirty days. Card MTUs presented for a quarter represent the Card MTUs as of the last day of the last month in the respective quarter. [2] Card Transaction Volume is defined as the aggregate dollar amount of purchase transactions initiated through the Gemini Credit Card during the reporting period, inclusive of domestic and international spend. [3] Card Receivables is defined as the outstanding principal balance owned by Geminid at the end of the reporting period.. [4] Q1 2026 provision for credit losses includes $4.1 million of losses related to a discrete fraud event. Earnings Presentation | Q1’26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Expense Outlook - Q2 ’26 Guidance Key Metric Period Outlook (No Change) Compensation ex SBC FY 2026 15-20% reduction excluding restructuring costs Stock Based Compensation FY 2026 $100-115 million excluding restructuring costs Technology + G&amp;A FY 2026 $155-190 million Marketing ex Rewards and Promotions FY 2026 10-15% of revenue dependent on market opportunities Earnings Presentation | Q1’26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Private placement strengthens the balance sheet and improves liquidity position TRANSACTION Size $100 million private placement Shares sold 7.1 million Class A Common Stock at $14.00/share Consideration 1,258 bitcoin, payment-in-kind Closing date May 14, 2026 PRO FORMA CAPITAL POSITION1 Q1 '26 Close Pro Forma LIQUIDITY Cash and equivalents $215.6M $215.6M Unencumbered digital assets $20.2M $120.2M Total Liquidity2 $235.8M $335.8M SHARE COUNT Class A common stock 44.0M 51.1M Class B common stock 75.1.M 75.1M Total shares outstanding 119.1.M 126.2M CORPORATE CRYPTO ASSETS HELD $mm, Q1 '26 close vs. pro forma Borrowed from related party Crypto held for operations Crypto held for investment Unencumbered bitcoin Q1’26 Close Pro Forma $251.8 $17.6 $100 Unencumbered corporate treasury added through private placement Offset by related-party liability, pledged as collateral to third-party lenders $2.6 $372M $251.8 $272M $2.6 $17.6 [1] See the forward-looking statements disclaimer included in this presentation. [2] Defined as cash and cash equivalents, plus unencumbered digital assets. Earnings Presentation | Q1’26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Reconciliation ADJUSTED EBITDA ($000s) Q1'25 Q2'25 Q3'25 Q4'25 Q1'26 Net Loss (149,264) (133,212) (159,514) (140,823) (108,978) Adjusted to exclude the following: Provision for (benefit from) income taxes (5,012) 76 (1,186) 135 21 Depreciation and amortization 7,855 7,662 7,672 7,534 7,482 Interest expense 17,125 19,611 22,816 10,782 7,598 Stock-based compensation 1,455 1,753 45,751 35,997 24,178 Impairment - - - 650 - Restructuring charges(1) - - - - 7,866 Non-recurring legal contingencies, settlements, and related costs 2,580 3,848 - - 424 Change in fair value on related party convertible notes 8,187 9,424 8,178 - - Change in fair value on related party loans 55,547 38,773 24,989 - - Non-recurring gain related to conversion of convertible notes and term loans - - - (5,841) - Unrealized foreign exchange loss (gain) (53) 190 (1,087) (591) 1,484 Adjusted EBITDA (61,580) (51,875) (52,381) (92,157) (59,925) Earnings Presentation | Q1’26 22 [1] Includes impairment charges in connection with the restructuring of $1.3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 Management believes that Adjusted EBITDA, which is a measure not presented in accordance with GAAP, provides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profitability and business trends in a way that is consistent with how management evaluates such matters. We define Adjusted EBITDA as net income (loss), adjusted to exclude provision for (benefit from) income taxes, interest expense, depreciation and amortization, stock-based compensation expense, impairment, restructuring charges, non-recurring legal contingencies, settlement and related costs, change in fair value on related party convertible notes, change in fair value on related party loans, gain on conversion of convertible notes and term loans, and unrealized foreign exchange loss (gain). Among other non-cash and non-recurring items, Adjusted EBITDA excludes stock-based compensation expense, which has recently been, and will continue to be for the foreseeable future, a significant recurring expense for our business and an important part of our compensation strategy. In addition, on February 5, 2026, the Company announced its plans to wind down operations in the United Kingdom, European Union, other European jurisdictions, and Australia. As such, beginning with this quarter, Adjusted EBITDA also excludes related restructuring charges, which primarily relate to workforce reductions, lease exit costs, and other actions taken to streamline our operations and that we believe are unusual in nature and/or infrequent in occurrence and are not indicative of our ongoing operating activities. 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Adjusted EBITDA is provided above to the most directly comparable financial measure stated in accordance with GAAP. Investors are encouraged to review the related GAAP financial measures and the reconciliation of non-GAAP financial measures to their most directly comparable GAAP financial measures included in this presentation, and not to rely on any single financial measure to evaluate our business. Adjusted EBITDA is presented for supplemental informational purposes only, has limitations as an analytical tool, and should not be considered in isolation or as a substitute for financial information presented in accordance with GAAP. Key Performance Metrics ● Monthly Transacting User: any retail or institutional user who has engaged in any revenue-generating activity or whose account otherwise generated revenue for the Company in the trailing thirty days. MTUs presented for a quarter represent the MTUs as of the last day of the respective quarter. MTUs presented as of the end of a year represent the MTUs as of the last day of that year. ● Lifetime Transacting User: LTUs represent the cumulative number of unique MTUs who have ever transacted on our platform and continue to maintain an open account, measured since inception. ● Card Sign-Ups: the cumulative number of approved applications for the Gemini Credit Card in the relevant period. Card Sign-Ups include customers who have been approved to open an account, regardless of whether they have subsequently activated or used their card or whether the account later remains open. ● Transaction Volume: the total U.S. dollar equivalent value of spot matched trades transacted between a buyer and seller through our platform during the period of measurement. ● Assets on Platform: the total value of assets held on our platform and includes digital assets in custody, staking, and exchange products, user custodial fiat, and GUSD reserve assets. For more information and a more detailed discussion of our Key Performance Metrics, refer to the filings we make with the Securities and Exchange Commission from time to time, including in our Annual Reports on Form 10-K and Quarterly Reports on Form 10-Q.. Non-GAAP Financial Measure and Key Performance Metrics Earnings Presentation | Q1’26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2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Q1’26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19832</Words>
  <Characters>109508</Characters>
  <CharactersWithSpaces>129389</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geminiq126earningspresen</dc:title>
</cp:coreProperties>
</file>