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Gemini Space Station, Inc.</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5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001-42836</w:t>
            </w:r>
          </w:p>
        </w:tc>
        <w:tc>
          <w:tcPr>
            <w:tcW w:w="306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33-3263417</w:t>
            </w:r>
          </w:p>
        </w:tc>
      </w:tr>
      <w:tr>
        <w:trPr>
          <w:trHeight w:val="216"/>
        </w:trPr>
        <w:tc>
          <w:tcPr>
            <w:tcW w:w="2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2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5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46"/>
        </w:trPr>
        <w:tc>
          <w:tcPr>
            <w:tcW w:w="2500" w:type="dxa"/>
            <w:vAlign w:val="bottom"/>
          </w:tcPr>
          <w:p>
            <w:pPr>
              <w:spacing w:after="0"/>
              <w:rPr>
                <w:sz w:val="21"/>
                <w:szCs w:val="21"/>
                <w:color w:val="auto"/>
              </w:rPr>
            </w:pPr>
          </w:p>
        </w:tc>
        <w:tc>
          <w:tcPr>
            <w:tcW w:w="45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600 Third Avenue, 2nd Floor</w:t>
            </w:r>
          </w:p>
        </w:tc>
        <w:tc>
          <w:tcPr>
            <w:tcW w:w="3060" w:type="dxa"/>
            <w:vAlign w:val="bottom"/>
          </w:tcPr>
          <w:p>
            <w:pPr>
              <w:spacing w:after="0"/>
              <w:rPr>
                <w:sz w:val="21"/>
                <w:szCs w:val="21"/>
                <w:color w:val="auto"/>
              </w:rPr>
            </w:pPr>
          </w:p>
        </w:tc>
      </w:tr>
      <w:tr>
        <w:trPr>
          <w:trHeight w:val="275"/>
        </w:trPr>
        <w:tc>
          <w:tcPr>
            <w:tcW w:w="2500" w:type="dxa"/>
            <w:vAlign w:val="bottom"/>
          </w:tcPr>
          <w:p>
            <w:pPr>
              <w:spacing w:after="0"/>
              <w:rPr>
                <w:sz w:val="23"/>
                <w:szCs w:val="23"/>
                <w:color w:val="auto"/>
              </w:rPr>
            </w:pPr>
          </w:p>
        </w:tc>
        <w:tc>
          <w:tcPr>
            <w:tcW w:w="45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New York, NY 10016</w:t>
            </w:r>
            <w:r>
              <w:rPr>
                <w:rFonts w:ascii="Times New Roman" w:cs="Times New Roman" w:eastAsia="Times New Roman" w:hAnsi="Times New Roman"/>
                <w:sz w:val="23"/>
                <w:szCs w:val="23"/>
                <w:b w:val="1"/>
                <w:bCs w:val="1"/>
                <w:color w:val="auto"/>
                <w:w w:val="97"/>
                <w:vertAlign w:val="superscript"/>
              </w:rPr>
              <w:t>1</w:t>
            </w:r>
          </w:p>
        </w:tc>
        <w:tc>
          <w:tcPr>
            <w:tcW w:w="3060" w:type="dxa"/>
            <w:vAlign w:val="bottom"/>
          </w:tcPr>
          <w:p>
            <w:pPr>
              <w:spacing w:after="0"/>
              <w:rPr>
                <w:sz w:val="23"/>
                <w:szCs w:val="23"/>
                <w:color w:val="auto"/>
              </w:rPr>
            </w:pPr>
          </w:p>
        </w:tc>
      </w:tr>
      <w:tr>
        <w:trPr>
          <w:trHeight w:val="234"/>
        </w:trPr>
        <w:tc>
          <w:tcPr>
            <w:tcW w:w="2500" w:type="dxa"/>
            <w:vAlign w:val="bottom"/>
          </w:tcPr>
          <w:p>
            <w:pPr>
              <w:spacing w:after="0"/>
              <w:rPr>
                <w:sz w:val="20"/>
                <w:szCs w:val="20"/>
                <w:color w:val="auto"/>
              </w:rPr>
            </w:pPr>
          </w:p>
        </w:tc>
        <w:tc>
          <w:tcPr>
            <w:tcW w:w="45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060" w:type="dxa"/>
            <w:vAlign w:val="bottom"/>
          </w:tcPr>
          <w:p>
            <w:pPr>
              <w:spacing w:after="0"/>
              <w:rPr>
                <w:sz w:val="20"/>
                <w:szCs w:val="20"/>
                <w:color w:val="auto"/>
              </w:rPr>
            </w:pPr>
          </w:p>
        </w:tc>
      </w:tr>
      <w:tr>
        <w:trPr>
          <w:trHeight w:val="270"/>
        </w:trPr>
        <w:tc>
          <w:tcPr>
            <w:tcW w:w="2500" w:type="dxa"/>
            <w:vAlign w:val="bottom"/>
          </w:tcPr>
          <w:p>
            <w:pPr>
              <w:spacing w:after="0"/>
              <w:rPr>
                <w:sz w:val="23"/>
                <w:szCs w:val="23"/>
                <w:color w:val="auto"/>
              </w:rPr>
            </w:pPr>
          </w:p>
        </w:tc>
        <w:tc>
          <w:tcPr>
            <w:tcW w:w="45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(646) 751-4401</w:t>
            </w:r>
          </w:p>
        </w:tc>
        <w:tc>
          <w:tcPr>
            <w:tcW w:w="3060" w:type="dxa"/>
            <w:vAlign w:val="bottom"/>
          </w:tcPr>
          <w:p>
            <w:pPr>
              <w:spacing w:after="0"/>
              <w:rPr>
                <w:sz w:val="23"/>
                <w:szCs w:val="23"/>
                <w:color w:val="auto"/>
              </w:rPr>
            </w:pPr>
          </w:p>
        </w:tc>
      </w:tr>
      <w:tr>
        <w:trPr>
          <w:trHeight w:val="270"/>
        </w:trPr>
        <w:tc>
          <w:tcPr>
            <w:tcW w:w="2500" w:type="dxa"/>
            <w:vAlign w:val="bottom"/>
          </w:tcPr>
          <w:p>
            <w:pPr>
              <w:spacing w:after="0"/>
              <w:rPr>
                <w:sz w:val="23"/>
                <w:szCs w:val="23"/>
                <w:color w:val="auto"/>
              </w:rPr>
            </w:pPr>
          </w:p>
        </w:tc>
        <w:tc>
          <w:tcPr>
            <w:tcW w:w="45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060" w:type="dxa"/>
            <w:vAlign w:val="bottom"/>
          </w:tcPr>
          <w:p>
            <w:pPr>
              <w:spacing w:after="0"/>
              <w:rPr>
                <w:sz w:val="23"/>
                <w:szCs w:val="23"/>
                <w:color w:val="auto"/>
              </w:rPr>
            </w:pPr>
          </w:p>
        </w:tc>
      </w:tr>
      <w:tr>
        <w:trPr>
          <w:trHeight w:val="270"/>
        </w:trPr>
        <w:tc>
          <w:tcPr>
            <w:tcW w:w="2500" w:type="dxa"/>
            <w:vAlign w:val="bottom"/>
          </w:tcPr>
          <w:p>
            <w:pPr>
              <w:spacing w:after="0"/>
              <w:rPr>
                <w:sz w:val="23"/>
                <w:szCs w:val="23"/>
                <w:color w:val="auto"/>
              </w:rPr>
            </w:pP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3060" w:type="dxa"/>
            <w:vAlign w:val="bottom"/>
          </w:tcPr>
          <w:p>
            <w:pPr>
              <w:spacing w:after="0"/>
              <w:rPr>
                <w:sz w:val="23"/>
                <w:szCs w:val="23"/>
                <w:color w:val="auto"/>
              </w:rPr>
            </w:pPr>
          </w:p>
        </w:tc>
      </w:tr>
    </w:tbl>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Pr>
          <w:p>
            <w:pPr>
              <w:spacing w:after="0"/>
              <w:rPr>
                <w:sz w:val="19"/>
                <w:szCs w:val="19"/>
                <w:color w:val="auto"/>
              </w:rPr>
            </w:pPr>
          </w:p>
        </w:tc>
        <w:tc>
          <w:tcPr>
            <w:tcW w:w="19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9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58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Class A common stock, $0.001 par value per</w:t>
            </w:r>
          </w:p>
        </w:tc>
        <w:tc>
          <w:tcPr>
            <w:tcW w:w="196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GEMI</w:t>
            </w:r>
          </w:p>
        </w:tc>
        <w:tc>
          <w:tcPr>
            <w:tcW w:w="780" w:type="dxa"/>
            <w:vAlign w:val="bottom"/>
          </w:tcPr>
          <w:p>
            <w:pPr>
              <w:spacing w:after="0"/>
              <w:rPr>
                <w:sz w:val="23"/>
                <w:szCs w:val="23"/>
                <w:color w:val="auto"/>
              </w:rPr>
            </w:pP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30"/>
        </w:trPr>
        <w:tc>
          <w:tcPr>
            <w:tcW w:w="1200" w:type="dxa"/>
            <w:vAlign w:val="bottom"/>
          </w:tcPr>
          <w:p>
            <w:pPr>
              <w:spacing w:after="0"/>
              <w:rPr>
                <w:sz w:val="11"/>
                <w:szCs w:val="11"/>
                <w:color w:val="auto"/>
              </w:rPr>
            </w:pPr>
          </w:p>
        </w:tc>
        <w:tc>
          <w:tcPr>
            <w:tcW w:w="3380" w:type="dxa"/>
            <w:vAlign w:val="bottom"/>
            <w:gridSpan w:val="2"/>
            <w:vMerge w:val="restart"/>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96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338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jc w:val="right"/>
        <w:spacing w:after="0" w:line="207" w:lineRule="exact"/>
        <w:tabs>
          <w:tab w:leader="none" w:pos="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714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3" w:lineRule="exact"/>
        <w:rPr>
          <w:sz w:val="24"/>
          <w:szCs w:val="24"/>
          <w:color w:val="auto"/>
        </w:rPr>
      </w:pPr>
    </w:p>
    <w:p>
      <w:pPr>
        <w:ind w:left="100" w:hanging="92"/>
        <w:spacing w:after="0"/>
        <w:tabs>
          <w:tab w:leader="none" w:pos="100"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We use this address for receiving mail and correspondence to our principal executive office located in New York, 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0"/>
          <w:szCs w:val="20"/>
          <w:color w:val="auto"/>
        </w:rPr>
      </w:pPr>
    </w:p>
    <w:p>
      <w:pPr>
        <w:spacing w:after="0" w:line="207" w:lineRule="exact"/>
        <w:tabs>
          <w:tab w:leader="none" w:pos="942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11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June 15, 2026, Gemini Space Station, Inc. (“Gemini,” the “Company,” “we,” or “us”) held its 2026 annual meeting of stockholders (the “Annual Meeting”). The Company’s stockholders voted on two proposals at the Annual Meeting, each of which is described below as well as more fully in the Company’s definitive proxy statement filed with the Securities and Exchange Commission on April 30, 2026 (the “Proxy Statement”). Holders of the Company’s Class A common stock were entitled to one vote for each share held as of the close of business on April 20, 2026 (the “Record Date”), and holders of the Company’s Class B common stock were entitled to ten votes for each share held as of the close of business on the Record Date. The Class A common stock and Class B common stock voted as a single class on all matters at the Annual Meeting.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Company’s stockholders voted on the following proposals:</w:t>
      </w:r>
    </w:p>
    <w:p>
      <w:pPr>
        <w:spacing w:after="0" w:line="252" w:lineRule="exact"/>
        <w:rPr>
          <w:sz w:val="20"/>
          <w:szCs w:val="20"/>
          <w:color w:val="auto"/>
        </w:rPr>
      </w:pPr>
    </w:p>
    <w:p>
      <w:pPr>
        <w:ind w:left="660" w:hanging="328"/>
        <w:spacing w:after="0" w:line="26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Tyler Winklevoss, Cameron Winklevoss, Jonathan Durham, James Anthony Esposito, Maria Filipakis, and Sachin Chand Jaitly to serve as directors for a term expiring at the Company’s 2027 annual meeting of stockholders and until their successors are duly elected and qualified or until their earlier death, resignation, retirement, disqualification or removal.</w:t>
      </w:r>
    </w:p>
    <w:p>
      <w:pPr>
        <w:spacing w:after="0" w:line="2" w:lineRule="exact"/>
        <w:rPr>
          <w:rFonts w:ascii="Times New Roman" w:cs="Times New Roman" w:eastAsia="Times New Roman" w:hAnsi="Times New Roman"/>
          <w:sz w:val="18"/>
          <w:szCs w:val="18"/>
          <w:color w:val="auto"/>
        </w:rPr>
      </w:pPr>
    </w:p>
    <w:p>
      <w:pPr>
        <w:ind w:left="660" w:right="280" w:hanging="328"/>
        <w:spacing w:after="0" w:line="27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the Company’s independent registered public accounting firm for the fiscal year ending December 31,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for each of these proposals are as follows: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00" w:lineRule="exact"/>
        <w:rPr>
          <w:sz w:val="20"/>
          <w:szCs w:val="20"/>
          <w:color w:val="auto"/>
        </w:rPr>
      </w:pPr>
    </w:p>
    <w:p>
      <w:pPr>
        <w:spacing w:after="0" w:line="353"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92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32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304"/>
        </w:trPr>
        <w:tc>
          <w:tcPr>
            <w:tcW w:w="24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8"/>
              </w:rPr>
              <w:t>Tyler Winklevoss</w:t>
            </w:r>
          </w:p>
        </w:tc>
        <w:tc>
          <w:tcPr>
            <w:tcW w:w="32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753,956,463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2,626,302</w:t>
            </w:r>
          </w:p>
        </w:tc>
        <w:tc>
          <w:tcPr>
            <w:tcW w:w="14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14,822,973</w:t>
            </w:r>
          </w:p>
        </w:tc>
      </w:tr>
      <w:tr>
        <w:trPr>
          <w:trHeight w:val="283"/>
        </w:trPr>
        <w:tc>
          <w:tcPr>
            <w:tcW w:w="24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Cameron Winklevoss</w:t>
            </w:r>
          </w:p>
        </w:tc>
        <w:tc>
          <w:tcPr>
            <w:tcW w:w="32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753,851,546</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2,731,219</w:t>
            </w:r>
          </w:p>
        </w:tc>
        <w:tc>
          <w:tcPr>
            <w:tcW w:w="14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14,822,973</w:t>
            </w:r>
          </w:p>
        </w:tc>
      </w:tr>
      <w:tr>
        <w:trPr>
          <w:trHeight w:val="283"/>
        </w:trPr>
        <w:tc>
          <w:tcPr>
            <w:tcW w:w="24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Jonathan Durham</w:t>
            </w:r>
          </w:p>
        </w:tc>
        <w:tc>
          <w:tcPr>
            <w:tcW w:w="32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755,617,150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965,615</w:t>
            </w:r>
          </w:p>
        </w:tc>
        <w:tc>
          <w:tcPr>
            <w:tcW w:w="14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14,822,973</w:t>
            </w:r>
          </w:p>
        </w:tc>
      </w:tr>
      <w:tr>
        <w:trPr>
          <w:trHeight w:val="283"/>
        </w:trPr>
        <w:tc>
          <w:tcPr>
            <w:tcW w:w="24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James Anthony Esposito</w:t>
            </w:r>
          </w:p>
        </w:tc>
        <w:tc>
          <w:tcPr>
            <w:tcW w:w="32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755,617,257</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965,508</w:t>
            </w:r>
          </w:p>
        </w:tc>
        <w:tc>
          <w:tcPr>
            <w:tcW w:w="14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14,822,973</w:t>
            </w:r>
          </w:p>
        </w:tc>
      </w:tr>
      <w:tr>
        <w:trPr>
          <w:trHeight w:val="284"/>
        </w:trPr>
        <w:tc>
          <w:tcPr>
            <w:tcW w:w="24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Maria Filipakis</w:t>
            </w:r>
          </w:p>
        </w:tc>
        <w:tc>
          <w:tcPr>
            <w:tcW w:w="32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755,593,413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989,352</w:t>
            </w:r>
          </w:p>
        </w:tc>
        <w:tc>
          <w:tcPr>
            <w:tcW w:w="14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14,822,973</w:t>
            </w:r>
          </w:p>
        </w:tc>
      </w:tr>
      <w:tr>
        <w:trPr>
          <w:trHeight w:val="283"/>
        </w:trPr>
        <w:tc>
          <w:tcPr>
            <w:tcW w:w="24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w w:val="99"/>
              </w:rPr>
              <w:t>Sachin Chand Jaitly</w:t>
            </w:r>
          </w:p>
        </w:tc>
        <w:tc>
          <w:tcPr>
            <w:tcW w:w="32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755,595,456</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987,309</w:t>
            </w:r>
          </w:p>
        </w:tc>
        <w:tc>
          <w:tcPr>
            <w:tcW w:w="14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14,822,973</w:t>
            </w:r>
          </w:p>
        </w:tc>
      </w:tr>
    </w:tbl>
    <w:p>
      <w:pPr>
        <w:spacing w:after="0" w:line="36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Each of the six nominees for director was elected to serve for a term expiring at the Company’s 2027 annual meeting of stockholders and until their successors are duly elected and qualified or until their earlier death, resignation, retirement, disqualification or removal.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2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Abstain/Withheld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304"/>
        </w:trPr>
        <w:tc>
          <w:tcPr>
            <w:tcW w:w="17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w w:val="97"/>
              </w:rPr>
              <w:t>769,400,614</w:t>
            </w:r>
          </w:p>
        </w:tc>
        <w:tc>
          <w:tcPr>
            <w:tcW w:w="1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1,387,756</w:t>
            </w:r>
          </w:p>
        </w:tc>
        <w:tc>
          <w:tcPr>
            <w:tcW w:w="1520" w:type="dxa"/>
            <w:vAlign w:val="bottom"/>
          </w:tcPr>
          <w:p>
            <w:pPr>
              <w:spacing w:after="0"/>
              <w:rPr>
                <w:sz w:val="24"/>
                <w:szCs w:val="24"/>
                <w:color w:val="auto"/>
              </w:rPr>
            </w:pP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617,368</w:t>
            </w:r>
          </w:p>
        </w:tc>
        <w:tc>
          <w:tcPr>
            <w:tcW w:w="13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6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1344295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GEMINI SPACE STATION, INC.</w:t>
      </w:r>
    </w:p>
    <w:p>
      <w:pPr>
        <w:spacing w:after="0" w:line="6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June 15, 2026</w:t>
      </w:r>
    </w:p>
    <w:p>
      <w:pPr>
        <w:spacing w:after="0" w:line="77"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Danijela Stojanovic</w:t>
            </w:r>
          </w:p>
        </w:tc>
        <w:tc>
          <w:tcPr>
            <w:tcW w:w="0" w:type="dxa"/>
            <w:vAlign w:val="bottom"/>
          </w:tcPr>
          <w:p>
            <w:pPr>
              <w:spacing w:after="0"/>
              <w:rPr>
                <w:sz w:val="1"/>
                <w:szCs w:val="1"/>
                <w:color w:val="auto"/>
              </w:rPr>
            </w:pPr>
          </w:p>
        </w:tc>
      </w:tr>
      <w:tr>
        <w:trPr>
          <w:trHeight w:val="41"/>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Danijela Stojanovic</w:t>
            </w:r>
          </w:p>
        </w:tc>
        <w:tc>
          <w:tcPr>
            <w:tcW w:w="0" w:type="dxa"/>
            <w:vAlign w:val="bottom"/>
          </w:tcPr>
          <w:p>
            <w:pPr>
              <w:spacing w:after="0"/>
              <w:rPr>
                <w:sz w:val="1"/>
                <w:szCs w:val="1"/>
                <w:color w:val="auto"/>
              </w:rPr>
            </w:pPr>
          </w:p>
        </w:tc>
      </w:tr>
      <w:tr>
        <w:trPr>
          <w:trHeight w:val="28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2026-06-15T16:09:21Z</dcterms:created>
  <dcterms:modified xsi:type="dcterms:W3CDTF">2026-06-15T16:09:21Z</dcterms:modified>
</cp:coreProperties>
</file>